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5E8C"/>
          <w:sz w:val="48"/>
          <w:szCs w:val="48"/>
        </w:rPr>
        <w:t xml:space="preserve">OPTPal Roadmap v2</w:t>
      </w:r>
    </w:p>
    <w:p>
      <w:pPr>
        <w:spacing w:after="80"/>
        <w:jc w:val="center"/>
      </w:pPr>
      <w:r>
        <w:rPr>
          <w:rFonts w:ascii="Arial" w:cs="Arial" w:eastAsia="Arial" w:hAnsi="Arial"/>
          <w:color w:val="555555"/>
          <w:sz w:val="28"/>
          <w:szCs w:val="28"/>
        </w:rPr>
        <w:t xml:space="preserve">Independent Review of Gemini &amp; ChatGPT Feedback</w:t>
      </w:r>
    </w:p>
    <w:p>
      <w:pPr>
        <w:pBdr>
          <w:bottom w:val="single" w:color="1B5E8C" w:sz="3" w:space="8"/>
        </w:pBdr>
        <w:spacing w:after="200"/>
        <w:jc w:val="center"/>
      </w:pPr>
      <w:r>
        <w:rPr>
          <w:rFonts w:ascii="Arial" w:cs="Arial" w:eastAsia="Arial" w:hAnsi="Arial"/>
          <w:i/>
          <w:iCs/>
          <w:color w:val="666666"/>
          <w:sz w:val="20"/>
          <w:szCs w:val="20"/>
        </w:rPr>
        <w:t xml:space="preserve">With Corrected Facts, Narrowed MVP, and Production-Grade Trust Architecture</w:t>
      </w:r>
    </w:p>
    <w:p>
      <w:pPr>
        <w:spacing w:before="300"/>
        <w:jc w:val="center"/>
      </w:pPr>
      <w:r>
        <w:rPr>
          <w:rFonts w:ascii="Arial" w:cs="Arial" w:eastAsia="Arial" w:hAnsi="Arial"/>
          <w:color w:val="666666"/>
          <w:sz w:val="20"/>
          <w:szCs w:val="20"/>
        </w:rPr>
        <w:t xml:space="preserve">March 2026  •  Surya Devera Konda</w:t>
      </w:r>
    </w:p>
    <w:p>
      <w:r>
        <w:br w:type="page"/>
      </w:r>
    </w:p>
    <w:p>
      <w:pPr>
        <w:pStyle w:val="Heading1"/>
        <w:pBdr>
          <w:bottom w:val="single" w:color="1B5E8C" w:sz="4" w:space="4"/>
        </w:pBdr>
        <w:spacing w:after="200" w:before="360"/>
      </w:pPr>
      <w:r>
        <w:rPr>
          <w:rFonts w:ascii="Arial" w:cs="Arial" w:eastAsia="Arial" w:hAnsi="Arial"/>
          <w:b/>
          <w:bCs/>
          <w:color w:val="1B5E8C"/>
          <w:sz w:val="30"/>
          <w:szCs w:val="30"/>
        </w:rPr>
        <w:t xml:space="preserve">Part 1: Independent Verdict on Each Critique</w:t>
      </w:r>
    </w:p>
    <w:p>
      <w:pPr>
        <w:spacing w:after="140" w:line="276"/>
      </w:pPr>
      <w:r>
        <w:rPr>
          <w:rFonts w:ascii="Arial" w:cs="Arial" w:eastAsia="Arial" w:hAnsi="Arial"/>
          <w:color w:val="333333"/>
          <w:sz w:val="21"/>
          <w:szCs w:val="21"/>
        </w:rPr>
        <w:t xml:space="preserve">Both Gemini and ChatGPT provided useful feedback, but they also got things wrong, overstated certain risks, and missed important nuances. Below is my independent assessment of every major point they raised, based on original research across USCIS developer docs, the ABA, EOIR policy, ICE SEVP data, App Store analysis, and current immigration law practice.</w:t>
      </w:r>
    </w:p>
    <w:p>
      <w:pPr>
        <w:spacing w:after="160"/>
      </w:pPr>
    </w:p>
    <w:p>
      <w:pPr>
        <w:pStyle w:val="Heading2"/>
        <w:spacing w:after="160" w:before="300"/>
      </w:pPr>
      <w:r>
        <w:rPr>
          <w:rFonts w:ascii="Arial" w:cs="Arial" w:eastAsia="Arial" w:hAnsi="Arial"/>
          <w:b/>
          <w:bCs/>
          <w:color w:val="2E86C1"/>
          <w:sz w:val="26"/>
          <w:szCs w:val="26"/>
        </w:rPr>
        <w:t xml:space="preserve">1. Unauthorized Practice of Law (UPL) Risk</w:t>
      </w:r>
    </w:p>
    <w:p>
      <w:pPr>
        <w:spacing w:after="140" w:line="276"/>
      </w:pPr>
      <w:r>
        <w:rPr>
          <w:rFonts w:ascii="Arial" w:cs="Arial" w:eastAsia="Arial" w:hAnsi="Arial"/>
          <w:b/>
          <w:bCs/>
          <w:color w:val="333333"/>
          <w:sz w:val="21"/>
          <w:szCs w:val="21"/>
        </w:rPr>
        <w:t xml:space="preserve">Both models flagged this. </w:t>
      </w:r>
      <w:r>
        <w:rPr>
          <w:rFonts w:ascii="Arial" w:cs="Arial" w:eastAsia="Arial" w:hAnsi="Arial"/>
          <w:color w:val="333333"/>
          <w:sz w:val="21"/>
          <w:szCs w:val="21"/>
        </w:rPr>
        <w:t xml:space="preserve">Gemini called it a “severe blind spot.” ChatGPT called it the #1 gap. They’re both partially right, but they overstate the danger for what OPTPal actually does.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CCCCCC" w:sz="1"/>
              <w:bottom w:val="single" w:color="CCCCCC" w:sz="1"/>
              <w:right w:val="single" w:color="CCCCCC" w:sz="1"/>
            </w:tcBorders>
            <w:shd w:fill="FEF9E7" w:val="clear"/>
            <w:tcMar>
              <w:top w:type="dxa" w:w="120"/>
              <w:left w:type="dxa" w:w="160"/>
              <w:bottom w:type="dxa" w:w="120"/>
              <w:right w:type="dxa" w:w="160"/>
            </w:tcMar>
          </w:tcPr>
          <w:p>
            <w:pPr>
              <w:spacing w:after="80"/>
            </w:pPr>
            <w:r>
              <w:rPr>
                <w:rFonts w:ascii="Arial" w:cs="Arial" w:eastAsia="Arial" w:hAnsi="Arial"/>
                <w:b/>
                <w:bCs/>
                <w:color w:val="E67E22"/>
                <w:sz w:val="21"/>
                <w:szCs w:val="21"/>
              </w:rPr>
              <w:t xml:space="preserve">[PARTIALLY AGREE] </w:t>
            </w:r>
            <w:r>
              <w:rPr>
                <w:rFonts w:ascii="Arial" w:cs="Arial" w:eastAsia="Arial" w:hAnsi="Arial"/>
                <w:b/>
                <w:bCs/>
                <w:color w:val="1A1A1A"/>
                <w:sz w:val="23"/>
                <w:szCs w:val="23"/>
              </w:rPr>
              <w:t xml:space="preserve">UPL risk is real but manageable with established patterns</w:t>
            </w:r>
          </w:p>
          <w:p>
            <w:pPr>
              <w:spacing w:after="0" w:line="260"/>
            </w:pPr>
            <w:r>
              <w:rPr>
                <w:rFonts w:ascii="Arial" w:cs="Arial" w:eastAsia="Arial" w:hAnsi="Arial"/>
                <w:color w:val="444444"/>
                <w:sz w:val="20"/>
                <w:szCs w:val="20"/>
              </w:rPr>
              <w:t xml:space="preserve">The ABA’s own guidance on UPL distinguishes between “providing legal information” (explaining what the law says) and “giving legal advice” (telling someone what to do in their specific case). Lawfully already provides AI-predicted case outcomes, processing time estimates, and mock interview prep. Docketwise auto-fills 80+ USCIS forms from client data. TurboTax guides users through tax filing with decision logic. None of these have been shut down for UPL. The key is: OPTPal drafts text that the user reviews, edits, and submits themselves. It never files anything on the user’s behalf, never represents itself as legal counsel, and never tells the user “you are safe” without sourcing. This is the same pattern as every tax prep software, immigration form-filler, and legal document generator on the market. However, ChatGPT’s point about confidence labels and escalation flows is excellent and should be implemented.</w:t>
            </w:r>
          </w:p>
        </w:tc>
      </w:tr>
    </w:tbl>
    <w:p>
      <w:pPr>
        <w:spacing w:after="160"/>
      </w:pPr>
    </w:p>
    <w:p>
      <w:pPr>
        <w:spacing w:after="140" w:line="276"/>
      </w:pPr>
      <w:r>
        <w:rPr>
          <w:rFonts w:ascii="Arial" w:cs="Arial" w:eastAsia="Arial" w:hAnsi="Arial"/>
          <w:b/>
          <w:bCs/>
          <w:color w:val="333333"/>
          <w:sz w:val="21"/>
          <w:szCs w:val="21"/>
        </w:rPr>
        <w:t xml:space="preserve">The Fix (updated): </w:t>
      </w:r>
      <w:r>
        <w:rPr>
          <w:rFonts w:ascii="Arial" w:cs="Arial" w:eastAsia="Arial" w:hAnsi="Arial"/>
          <w:color w:val="333333"/>
          <w:sz w:val="21"/>
          <w:szCs w:val="21"/>
        </w:rPr>
        <w:t xml:space="preserve">Implement a three-tier response classification system across all AI outputs:</w:t>
      </w:r>
    </w:p>
    <w:p>
      <w:pPr>
        <w:spacing w:after="140" w:line="276"/>
      </w:pPr>
      <w:r>
        <w:rPr>
          <w:rFonts w:ascii="Arial" w:cs="Arial" w:eastAsia="Arial" w:hAnsi="Arial"/>
          <w:b/>
          <w:bCs/>
          <w:color w:val="27AE60"/>
          <w:sz w:val="21"/>
          <w:szCs w:val="21"/>
        </w:rPr>
        <w:t xml:space="preserve">INFORMATIONAL </w:t>
      </w:r>
      <w:r>
        <w:rPr>
          <w:rFonts w:ascii="Arial" w:cs="Arial" w:eastAsia="Arial" w:hAnsi="Arial"/>
          <w:color w:val="333333"/>
          <w:sz w:val="21"/>
          <w:szCs w:val="21"/>
        </w:rPr>
        <w:t xml:space="preserve">— Rule summaries sourced to specific CFR/USCIS guidance. “Under 8 CFR 214.2(f)(10), post-completion OPT has a 90-day unemployment limit.”</w:t>
      </w:r>
    </w:p>
    <w:p>
      <w:pPr>
        <w:spacing w:after="140" w:line="276"/>
      </w:pPr>
      <w:r>
        <w:rPr>
          <w:rFonts w:ascii="Arial" w:cs="Arial" w:eastAsia="Arial" w:hAnsi="Arial"/>
          <w:b/>
          <w:bCs/>
          <w:color w:val="E67E22"/>
          <w:sz w:val="21"/>
          <w:szCs w:val="21"/>
        </w:rPr>
        <w:t xml:space="preserve">DRAFT ASSISTANCE </w:t>
      </w:r>
      <w:r>
        <w:rPr>
          <w:rFonts w:ascii="Arial" w:cs="Arial" w:eastAsia="Arial" w:hAnsi="Arial"/>
          <w:color w:val="333333"/>
          <w:sz w:val="21"/>
          <w:szCs w:val="21"/>
        </w:rPr>
        <w:t xml:space="preserve">— AI-generated text the user must review before using. “Here’s a draft of your job-to-major paragraph. Review it, edit it, then paste it into the SEVP Portal yourself.”</w:t>
      </w:r>
    </w:p>
    <w:p>
      <w:pPr>
        <w:spacing w:after="140" w:line="276"/>
      </w:pPr>
      <w:r>
        <w:rPr>
          <w:rFonts w:ascii="Arial" w:cs="Arial" w:eastAsia="Arial" w:hAnsi="Arial"/>
          <w:b/>
          <w:bCs/>
          <w:color w:val="C0392B"/>
          <w:sz w:val="21"/>
          <w:szCs w:val="21"/>
        </w:rPr>
        <w:t xml:space="preserve">CONSULT DSO/ATTORNEY </w:t>
      </w:r>
      <w:r>
        <w:rPr>
          <w:rFonts w:ascii="Arial" w:cs="Arial" w:eastAsia="Arial" w:hAnsi="Arial"/>
          <w:color w:val="333333"/>
          <w:sz w:val="21"/>
          <w:szCs w:val="21"/>
        </w:rPr>
        <w:t xml:space="preserve">— High-risk scenarios where the app explicitly refuses to give a definitive answer. Travel during cap-gap, RFE responses, status violations, arrests, mixed-status edge cases. “This situation has significant risk. Contact your DSO or an immigration attorney before acting.”</w:t>
      </w:r>
    </w:p>
    <w:p>
      <w:pPr>
        <w:spacing w:after="140" w:line="276"/>
      </w:pPr>
      <w:r>
        <w:rPr>
          <w:rFonts w:ascii="Arial" w:cs="Arial" w:eastAsia="Arial" w:hAnsi="Arial"/>
          <w:b/>
          <w:bCs/>
          <w:color w:val="333333"/>
          <w:sz w:val="21"/>
          <w:szCs w:val="21"/>
        </w:rPr>
        <w:t xml:space="preserve">Additionally: </w:t>
      </w:r>
      <w:r>
        <w:rPr>
          <w:rFonts w:ascii="Arial" w:cs="Arial" w:eastAsia="Arial" w:hAnsi="Arial"/>
          <w:color w:val="333333"/>
          <w:sz w:val="21"/>
          <w:szCs w:val="21"/>
        </w:rPr>
        <w:t xml:space="preserve">Every AI response must include the source regulation or policy memo, the effective date, and a last-refreshed timestamp. A persistent footer in the AI chat reads: “OPTPal provides immigration information based on published USCIS regulations and policy guidance. It is not a law firm and does not provide legal advice. For case-specific legal questions, consult a licensed immigration attorney or your DSO.”</w:t>
      </w:r>
    </w:p>
    <w:p>
      <w:pPr>
        <w:spacing w:after="160"/>
      </w:pPr>
    </w:p>
    <w:p>
      <w:pPr>
        <w:pStyle w:val="Heading2"/>
        <w:spacing w:after="160" w:before="300"/>
      </w:pPr>
      <w:r>
        <w:rPr>
          <w:rFonts w:ascii="Arial" w:cs="Arial" w:eastAsia="Arial" w:hAnsi="Arial"/>
          <w:b/>
          <w:bCs/>
          <w:color w:val="2E86C1"/>
          <w:sz w:val="26"/>
          <w:szCs w:val="26"/>
        </w:rPr>
        <w:t xml:space="preserve">2. Market Size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CCCCCC" w:sz="1"/>
              <w:bottom w:val="single" w:color="CCCCCC" w:sz="1"/>
              <w:right w:val="single" w:color="CCCCCC" w:sz="1"/>
            </w:tcBorders>
            <w:shd w:fill="E8F8F5" w:val="clear"/>
            <w:tcMar>
              <w:top w:type="dxa" w:w="120"/>
              <w:left w:type="dxa" w:w="160"/>
              <w:bottom w:type="dxa" w:w="120"/>
              <w:right w:type="dxa" w:w="160"/>
            </w:tcMar>
          </w:tcPr>
          <w:p>
            <w:pPr>
              <w:spacing w:after="80"/>
            </w:pPr>
            <w:r>
              <w:rPr>
                <w:rFonts w:ascii="Arial" w:cs="Arial" w:eastAsia="Arial" w:hAnsi="Arial"/>
                <w:b/>
                <w:bCs/>
                <w:color w:val="27AE60"/>
                <w:sz w:val="21"/>
                <w:szCs w:val="21"/>
              </w:rPr>
              <w:t xml:space="preserve">[AGREE] </w:t>
            </w:r>
            <w:r>
              <w:rPr>
                <w:rFonts w:ascii="Arial" w:cs="Arial" w:eastAsia="Arial" w:hAnsi="Arial"/>
                <w:b/>
                <w:bCs/>
                <w:color w:val="1A1A1A"/>
                <w:sz w:val="23"/>
                <w:szCs w:val="23"/>
              </w:rPr>
              <w:t xml:space="preserve">ChatGPT is right — the “500K+” claim was too loose</w:t>
            </w:r>
          </w:p>
          <w:p>
            <w:pPr>
              <w:spacing w:after="0" w:line="260"/>
            </w:pPr>
            <w:r>
              <w:rPr>
                <w:rFonts w:ascii="Arial" w:cs="Arial" w:eastAsia="Arial" w:hAnsi="Arial"/>
                <w:color w:val="444444"/>
                <w:sz w:val="20"/>
                <w:szCs w:val="20"/>
              </w:rPr>
              <w:t xml:space="preserve">ICE’s 2024 SEVP Annual Report shows 194,554 students on OPT and 95,384 on STEM OPT, totaling approximately 290,000 in those specific categories. The previous roadmap’s “over 500,000 active OPT participants” conflated total practical-training authorizations (which includes pre-completion OPT and CPT) with the post-completion OPT market that OPTPal primarily serves. The total practical-training number was 381,140 unique SEVIS records with work authorization.</w:t>
            </w:r>
          </w:p>
        </w:tc>
      </w:tr>
    </w:tbl>
    <w:p>
      <w:pPr>
        <w:spacing w:after="160"/>
      </w:pPr>
    </w:p>
    <w:p>
      <w:pPr>
        <w:spacing w:after="140" w:line="276"/>
      </w:pPr>
      <w:r>
        <w:rPr>
          <w:rFonts w:ascii="Arial" w:cs="Arial" w:eastAsia="Arial" w:hAnsi="Arial"/>
          <w:b/>
          <w:bCs/>
          <w:color w:val="333333"/>
          <w:sz w:val="21"/>
          <w:szCs w:val="21"/>
        </w:rPr>
        <w:t xml:space="preserve">Corrected market statement: </w:t>
      </w:r>
      <w:r>
        <w:rPr>
          <w:rFonts w:ascii="Arial" w:cs="Arial" w:eastAsia="Arial" w:hAnsi="Arial"/>
          <w:color w:val="333333"/>
          <w:sz w:val="21"/>
          <w:szCs w:val="21"/>
        </w:rPr>
        <w:t xml:space="preserve">“The addressable market includes approximately 290,000 students actively on post-completion OPT or STEM OPT (2024 SEVP data), plus an additional 90,000+ students in the pre-OPT planning phase each year. With pre-completion OPT and CPT users included, the total F-1 practical-training population exceeds 380,000 annually.” This is still a strong niche—especially given the ARPU potential from FICA refund assistance ($3,000+ per user).</w:t>
      </w:r>
    </w:p>
    <w:p>
      <w:pPr>
        <w:spacing w:after="160"/>
      </w:pPr>
    </w:p>
    <w:p>
      <w:pPr>
        <w:pStyle w:val="Heading2"/>
        <w:spacing w:after="160" w:before="300"/>
      </w:pPr>
      <w:r>
        <w:rPr>
          <w:rFonts w:ascii="Arial" w:cs="Arial" w:eastAsia="Arial" w:hAnsi="Arial"/>
          <w:b/>
          <w:bCs/>
          <w:color w:val="2E86C1"/>
          <w:sz w:val="26"/>
          <w:szCs w:val="26"/>
        </w:rPr>
        <w:t xml:space="preserve">3. Competition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CCCCCC" w:sz="1"/>
              <w:bottom w:val="single" w:color="CCCCCC" w:sz="1"/>
              <w:right w:val="single" w:color="CCCCCC" w:sz="1"/>
            </w:tcBorders>
            <w:shd w:fill="E8F8F5" w:val="clear"/>
            <w:tcMar>
              <w:top w:type="dxa" w:w="120"/>
              <w:left w:type="dxa" w:w="160"/>
              <w:bottom w:type="dxa" w:w="120"/>
              <w:right w:type="dxa" w:w="160"/>
            </w:tcMar>
          </w:tcPr>
          <w:p>
            <w:pPr>
              <w:spacing w:after="80"/>
            </w:pPr>
            <w:r>
              <w:rPr>
                <w:rFonts w:ascii="Arial" w:cs="Arial" w:eastAsia="Arial" w:hAnsi="Arial"/>
                <w:b/>
                <w:bCs/>
                <w:color w:val="E67E22"/>
                <w:sz w:val="21"/>
                <w:szCs w:val="21"/>
              </w:rPr>
              <w:t xml:space="preserve">[PARTIALLY AGREE] </w:t>
            </w:r>
            <w:r>
              <w:rPr>
                <w:rFonts w:ascii="Arial" w:cs="Arial" w:eastAsia="Arial" w:hAnsi="Arial"/>
                <w:b/>
                <w:bCs/>
                <w:color w:val="1A1A1A"/>
                <w:sz w:val="23"/>
                <w:szCs w:val="23"/>
              </w:rPr>
              <w:t xml:space="preserve">ChatGPT is right that competitors exist, but the moat claim holds</w:t>
            </w:r>
          </w:p>
          <w:p>
            <w:pPr>
              <w:spacing w:after="0" w:line="260"/>
            </w:pPr>
            <w:r>
              <w:rPr>
                <w:rFonts w:ascii="Arial" w:cs="Arial" w:eastAsia="Arial" w:hAnsi="Arial"/>
                <w:color w:val="444444"/>
                <w:sz w:val="20"/>
                <w:szCs w:val="20"/>
              </w:rPr>
              <w:t xml:space="preserve">I independently verified three competitors: (1) Lawfully has 2.5M+ users and 6M+ registered cases, but it’s a generic USCIS case tracker for ALL immigration types (green cards, naturalization, H-1B, etc.)—it has zero OPT-specific features like unemployment tracking, SEVP reporting, or I-983 assistance. (2) OPTimize (by GoElite, launched Jan 2026) is iOS-only and is purely a timeline calculator—no AI, no document scanning, no compliance tracking, no Android app. (3) Case Tracker by Stephen Aldous is a push-notification wrapper around the USCIS status page. None of these combine OPT compliance tracking + document intelligence + AI-powered drafting + FICA recovery in one Android-first product. The moat is real, but it should be stated honestly.</w:t>
            </w:r>
          </w:p>
        </w:tc>
      </w:tr>
    </w:tbl>
    <w:p>
      <w:pPr>
        <w:spacing w:after="160"/>
      </w:pPr>
    </w:p>
    <w:p>
      <w:pPr>
        <w:spacing w:after="140" w:line="276"/>
      </w:pPr>
      <w:r>
        <w:rPr>
          <w:rFonts w:ascii="Arial" w:cs="Arial" w:eastAsia="Arial" w:hAnsi="Arial"/>
          <w:b/>
          <w:bCs/>
          <w:color w:val="333333"/>
          <w:sz w:val="21"/>
          <w:szCs w:val="21"/>
        </w:rPr>
        <w:t xml:space="preserve">Corrected positioning: </w:t>
      </w:r>
      <w:r>
        <w:rPr>
          <w:rFonts w:ascii="Arial" w:cs="Arial" w:eastAsia="Arial" w:hAnsi="Arial"/>
          <w:color w:val="333333"/>
          <w:sz w:val="21"/>
          <w:szCs w:val="21"/>
        </w:rPr>
        <w:t xml:space="preserve">“Existing tools address fragments of the OPT student’s needs: Lawfully tracks USCIS case status across all visa types. OPTimize calculates OPT timelines on iOS. But no product combines OPT-specific compliance tracking, predictive unemployment alerts, document intelligence, SEVP reporting assistance, and AI-powered regulatory guidance in a single app. OPTPal’s moat is being the most trustworthy, evidence-backed, OPT-specific compliance co-pilot.”</w:t>
      </w:r>
    </w:p>
    <w:p>
      <w:pPr>
        <w:spacing w:after="160"/>
      </w:pPr>
    </w:p>
    <w:p>
      <w:pPr>
        <w:pStyle w:val="Heading2"/>
        <w:spacing w:after="160" w:before="300"/>
      </w:pPr>
      <w:r>
        <w:rPr>
          <w:rFonts w:ascii="Arial" w:cs="Arial" w:eastAsia="Arial" w:hAnsi="Arial"/>
          <w:b/>
          <w:bCs/>
          <w:color w:val="2E86C1"/>
          <w:sz w:val="26"/>
          <w:szCs w:val="26"/>
        </w:rPr>
        <w:t xml:space="preserve">4. Social Media Review Timeline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CCCCCC" w:sz="1"/>
              <w:bottom w:val="single" w:color="CCCCCC" w:sz="1"/>
              <w:right w:val="single" w:color="CCCCCC" w:sz="1"/>
            </w:tcBorders>
            <w:shd w:fill="E8F8F5" w:val="clear"/>
            <w:tcMar>
              <w:top w:type="dxa" w:w="120"/>
              <w:left w:type="dxa" w:w="160"/>
              <w:bottom w:type="dxa" w:w="120"/>
              <w:right w:type="dxa" w:w="160"/>
            </w:tcMar>
          </w:tcPr>
          <w:p>
            <w:pPr>
              <w:spacing w:after="80"/>
            </w:pPr>
            <w:r>
              <w:rPr>
                <w:rFonts w:ascii="Arial" w:cs="Arial" w:eastAsia="Arial" w:hAnsi="Arial"/>
                <w:b/>
                <w:bCs/>
                <w:color w:val="27AE60"/>
                <w:sz w:val="21"/>
                <w:szCs w:val="21"/>
              </w:rPr>
              <w:t xml:space="preserve">[AGREE] </w:t>
            </w:r>
            <w:r>
              <w:rPr>
                <w:rFonts w:ascii="Arial" w:cs="Arial" w:eastAsia="Arial" w:hAnsi="Arial"/>
                <w:b/>
                <w:bCs/>
                <w:color w:val="1A1A1A"/>
                <w:sz w:val="23"/>
                <w:szCs w:val="23"/>
              </w:rPr>
              <w:t xml:space="preserve">ChatGPT caught a real factual error</w:t>
            </w:r>
          </w:p>
          <w:p>
            <w:pPr>
              <w:spacing w:after="0" w:line="260"/>
            </w:pPr>
            <w:r>
              <w:rPr>
                <w:rFonts w:ascii="Arial" w:cs="Arial" w:eastAsia="Arial" w:hAnsi="Arial"/>
                <w:color w:val="444444"/>
                <w:sz w:val="20"/>
                <w:szCs w:val="20"/>
              </w:rPr>
              <w:t xml:space="preserve">The original roadmap stated social media review began “since August 2025.” This is incorrect. USCIS announced on April 9, 2025 that it would immediately begin considering social media activity in adjudication of immigration benefits, including OPT and STEM OPT applications. This was followed by expanded DOS screening measures in June and December 2025. The August date corresponds to a later expansion, not the initial announcement.</w:t>
            </w:r>
          </w:p>
        </w:tc>
      </w:tr>
    </w:tbl>
    <w:p>
      <w:pPr>
        <w:spacing w:after="160"/>
      </w:pPr>
    </w:p>
    <w:p>
      <w:pPr>
        <w:spacing w:after="140" w:line="276"/>
      </w:pPr>
      <w:r>
        <w:rPr>
          <w:rFonts w:ascii="Arial" w:cs="Arial" w:eastAsia="Arial" w:hAnsi="Arial"/>
          <w:color w:val="333333"/>
          <w:sz w:val="21"/>
          <w:szCs w:val="21"/>
        </w:rPr>
        <w:t xml:space="preserve">Corrected: All references now cite “April 9, 2025” as the effective date, with subsequent expansions noted.</w:t>
      </w:r>
    </w:p>
    <w:p>
      <w:pPr>
        <w:spacing w:after="160"/>
      </w:pPr>
    </w:p>
    <w:p>
      <w:pPr>
        <w:pStyle w:val="Heading2"/>
        <w:spacing w:after="160" w:before="300"/>
      </w:pPr>
      <w:r>
        <w:rPr>
          <w:rFonts w:ascii="Arial" w:cs="Arial" w:eastAsia="Arial" w:hAnsi="Arial"/>
          <w:b/>
          <w:bCs/>
          <w:color w:val="2E86C1"/>
          <w:sz w:val="26"/>
          <w:szCs w:val="26"/>
        </w:rPr>
        <w:t xml:space="preserve">5. Employer Verification Engine Feasibility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CCCCCC" w:sz="1"/>
              <w:bottom w:val="single" w:color="CCCCCC" w:sz="1"/>
              <w:right w:val="single" w:color="CCCCCC" w:sz="1"/>
            </w:tcBorders>
            <w:shd w:fill="E8F8F5" w:val="clear"/>
            <w:tcMar>
              <w:top w:type="dxa" w:w="120"/>
              <w:left w:type="dxa" w:w="160"/>
              <w:bottom w:type="dxa" w:w="120"/>
              <w:right w:type="dxa" w:w="160"/>
            </w:tcMar>
          </w:tcPr>
          <w:p>
            <w:pPr>
              <w:spacing w:after="80"/>
            </w:pPr>
            <w:r>
              <w:rPr>
                <w:rFonts w:ascii="Arial" w:cs="Arial" w:eastAsia="Arial" w:hAnsi="Arial"/>
                <w:b/>
                <w:bCs/>
                <w:color w:val="27AE60"/>
                <w:sz w:val="21"/>
                <w:szCs w:val="21"/>
              </w:rPr>
              <w:t xml:space="preserve">[AGREE] </w:t>
            </w:r>
            <w:r>
              <w:rPr>
                <w:rFonts w:ascii="Arial" w:cs="Arial" w:eastAsia="Arial" w:hAnsi="Arial"/>
                <w:b/>
                <w:bCs/>
                <w:color w:val="1A1A1A"/>
                <w:sz w:val="23"/>
                <w:szCs w:val="23"/>
              </w:rPr>
              <w:t xml:space="preserve">ChatGPT is right — “no fraud flags” is not verifiable from public data</w:t>
            </w:r>
          </w:p>
          <w:p>
            <w:pPr>
              <w:spacing w:after="0" w:line="260"/>
            </w:pPr>
            <w:r>
              <w:rPr>
                <w:rFonts w:ascii="Arial" w:cs="Arial" w:eastAsia="Arial" w:hAnsi="Arial"/>
                <w:color w:val="444444"/>
                <w:sz w:val="20"/>
                <w:szCs w:val="20"/>
              </w:rPr>
              <w:t xml:space="preserve">I confirmed that the E-Verify Employer Search (e-verify.gov/e-verify-employer-search) is publicly available and can confirm whether a company is enrolled. USCIS’s H-1B Employer Data Hub publishes petition counts by employer. However, there is no public “clean/dirty” employer registry. USCIS publishes fraud reporting resources, but that’s for filing tips, not for querying employer status. Gemini did not flag this issue at all.</w:t>
            </w:r>
          </w:p>
        </w:tc>
      </w:tr>
    </w:tbl>
    <w:p>
      <w:pPr>
        <w:spacing w:after="160"/>
      </w:pPr>
    </w:p>
    <w:p>
      <w:pPr>
        <w:spacing w:after="140" w:line="276"/>
      </w:pPr>
      <w:r>
        <w:rPr>
          <w:rFonts w:ascii="Arial" w:cs="Arial" w:eastAsia="Arial" w:hAnsi="Arial"/>
          <w:b/>
          <w:bCs/>
          <w:color w:val="333333"/>
          <w:sz w:val="21"/>
          <w:szCs w:val="21"/>
        </w:rPr>
        <w:t xml:space="preserve">Revised feature scope: </w:t>
      </w:r>
      <w:r>
        <w:rPr>
          <w:rFonts w:ascii="Arial" w:cs="Arial" w:eastAsia="Arial" w:hAnsi="Arial"/>
          <w:color w:val="333333"/>
          <w:sz w:val="21"/>
          <w:szCs w:val="21"/>
        </w:rPr>
        <w:t xml:space="preserve">Employer Verification now checks three verifiable signals only: (1) E-Verify enrollment status (required for STEM OPT), (2) H-1B petition history from the public data hub, and (3) cap-exempt vs. cap-subject classification based on employer type. The “no fraud flags” language is removed. Instead, the app surfaces educational guidance on recognizing fraudulent employers, citing Berkeley’s and ICE’s published warning signs.</w:t>
      </w:r>
    </w:p>
    <w:p>
      <w:pPr>
        <w:spacing w:after="160"/>
      </w:pPr>
    </w:p>
    <w:p>
      <w:pPr>
        <w:pStyle w:val="Heading2"/>
        <w:spacing w:after="160" w:before="300"/>
      </w:pPr>
      <w:r>
        <w:rPr>
          <w:rFonts w:ascii="Arial" w:cs="Arial" w:eastAsia="Arial" w:hAnsi="Arial"/>
          <w:b/>
          <w:bCs/>
          <w:color w:val="2E86C1"/>
          <w:sz w:val="26"/>
          <w:szCs w:val="26"/>
        </w:rPr>
        <w:t xml:space="preserve">6. Day 1 CPT / CPT Tracking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CCCCCC" w:sz="1"/>
              <w:bottom w:val="single" w:color="CCCCCC" w:sz="1"/>
              <w:right w:val="single" w:color="CCCCCC" w:sz="1"/>
            </w:tcBorders>
            <w:shd w:fill="FEF9E7" w:val="clear"/>
            <w:tcMar>
              <w:top w:type="dxa" w:w="120"/>
              <w:left w:type="dxa" w:w="160"/>
              <w:bottom w:type="dxa" w:w="120"/>
              <w:right w:type="dxa" w:w="160"/>
            </w:tcMar>
          </w:tcPr>
          <w:p>
            <w:pPr>
              <w:spacing w:after="80"/>
            </w:pPr>
            <w:r>
              <w:rPr>
                <w:rFonts w:ascii="Arial" w:cs="Arial" w:eastAsia="Arial" w:hAnsi="Arial"/>
                <w:b/>
                <w:bCs/>
                <w:color w:val="E67E22"/>
                <w:sz w:val="21"/>
                <w:szCs w:val="21"/>
              </w:rPr>
              <w:t xml:space="preserve">[DISAGREE ON PRIORITY] </w:t>
            </w:r>
            <w:r>
              <w:rPr>
                <w:rFonts w:ascii="Arial" w:cs="Arial" w:eastAsia="Arial" w:hAnsi="Arial"/>
                <w:b/>
                <w:bCs/>
                <w:color w:val="1A1A1A"/>
                <w:sz w:val="23"/>
                <w:szCs w:val="23"/>
              </w:rPr>
              <w:t xml:space="preserve">Valid suggestion but wrong priority for v1</w:t>
            </w:r>
          </w:p>
          <w:p>
            <w:pPr>
              <w:spacing w:after="0" w:line="260"/>
            </w:pPr>
            <w:r>
              <w:rPr>
                <w:rFonts w:ascii="Arial" w:cs="Arial" w:eastAsia="Arial" w:hAnsi="Arial"/>
                <w:color w:val="444444"/>
                <w:sz w:val="20"/>
                <w:szCs w:val="20"/>
              </w:rPr>
              <w:t xml:space="preserve">Gemini suggested adding CPT tracking as a Tier 2/3 feature. CPT students do represent a large segment (~130K in 2024), but their compliance workflow is fundamentally different from post-completion OPT: no unemployment tracking, no SEVP Portal reporting, no I-983, no cap-gap. CPT authorization is managed entirely through the school’s DSO. Adding CPT tracking would require a separate compliance engine with different rules and would dilute the app’s OPT-specific positioning. This belongs in a v2 expansion, not the current roadmap.</w:t>
            </w:r>
          </w:p>
        </w:tc>
      </w:tr>
    </w:tbl>
    <w:p>
      <w:pPr>
        <w:spacing w:after="160"/>
      </w:pPr>
    </w:p>
    <w:p>
      <w:pPr>
        <w:pStyle w:val="Heading2"/>
        <w:spacing w:after="160" w:before="300"/>
      </w:pPr>
      <w:r>
        <w:rPr>
          <w:rFonts w:ascii="Arial" w:cs="Arial" w:eastAsia="Arial" w:hAnsi="Arial"/>
          <w:b/>
          <w:bCs/>
          <w:color w:val="2E86C1"/>
          <w:sz w:val="26"/>
          <w:szCs w:val="26"/>
        </w:rPr>
        <w:t xml:space="preserve">7. Business Model &amp; Compute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CCCCCC" w:sz="1"/>
              <w:bottom w:val="single" w:color="CCCCCC" w:sz="1"/>
              <w:right w:val="single" w:color="CCCCCC" w:sz="1"/>
            </w:tcBorders>
            <w:shd w:fill="FDEDEC" w:val="clear"/>
            <w:tcMar>
              <w:top w:type="dxa" w:w="120"/>
              <w:left w:type="dxa" w:w="160"/>
              <w:bottom w:type="dxa" w:w="120"/>
              <w:right w:type="dxa" w:w="160"/>
            </w:tcMar>
          </w:tcPr>
          <w:p>
            <w:pPr>
              <w:spacing w:after="80"/>
            </w:pPr>
            <w:r>
              <w:rPr>
                <w:rFonts w:ascii="Arial" w:cs="Arial" w:eastAsia="Arial" w:hAnsi="Arial"/>
                <w:b/>
                <w:bCs/>
                <w:color w:val="27AE60"/>
                <w:sz w:val="21"/>
                <w:szCs w:val="21"/>
              </w:rPr>
              <w:t xml:space="preserve">[AGREE] </w:t>
            </w:r>
            <w:r>
              <w:rPr>
                <w:rFonts w:ascii="Arial" w:cs="Arial" w:eastAsia="Arial" w:hAnsi="Arial"/>
                <w:b/>
                <w:bCs/>
                <w:color w:val="1A1A1A"/>
                <w:sz w:val="23"/>
                <w:szCs w:val="23"/>
              </w:rPr>
              <w:t xml:space="preserve">Both models are correct — this was a real gap in the original roadmap</w:t>
            </w:r>
          </w:p>
          <w:p>
            <w:pPr>
              <w:spacing w:after="0" w:line="260"/>
            </w:pPr>
            <w:r>
              <w:rPr>
                <w:rFonts w:ascii="Arial" w:cs="Arial" w:eastAsia="Arial" w:hAnsi="Arial"/>
                <w:color w:val="444444"/>
                <w:sz w:val="20"/>
                <w:szCs w:val="20"/>
              </w:rPr>
              <w:t xml:space="preserve">Running Vision API + Gemini for document OCR, Cloud Functions for policy monitoring, and RAG for the regulatory chat will cost $0.50–$2.00+ per active user per month at scale. Offering all AI features free is not sustainable.</w:t>
            </w:r>
          </w:p>
        </w:tc>
      </w:tr>
    </w:tbl>
    <w:p>
      <w:pPr>
        <w:spacing w:after="160"/>
      </w:pPr>
    </w:p>
    <w:p>
      <w:pPr>
        <w:spacing w:after="140" w:line="276"/>
      </w:pPr>
      <w:r>
        <w:rPr>
          <w:rFonts w:ascii="Arial" w:cs="Arial" w:eastAsia="Arial" w:hAnsi="Arial"/>
          <w:b/>
          <w:bCs/>
          <w:color w:val="333333"/>
          <w:sz w:val="21"/>
          <w:szCs w:val="21"/>
        </w:rPr>
        <w:t xml:space="preserve">New monetization architecture: </w:t>
      </w:r>
      <w:r>
        <w:rPr>
          <w:rFonts w:ascii="Arial" w:cs="Arial" w:eastAsia="Arial" w:hAnsi="Arial"/>
          <w:color w:val="333333"/>
          <w:sz w:val="21"/>
          <w:szCs w:val="21"/>
        </w:rPr>
        <w:t xml:space="preserve"/>
      </w:r>
    </w:p>
    <w:p>
      <w:pPr>
        <w:spacing w:after="140" w:line="276"/>
      </w:pPr>
      <w:r>
        <w:rPr>
          <w:rFonts w:ascii="Arial" w:cs="Arial" w:eastAsia="Arial" w:hAnsi="Arial"/>
          <w:b/>
          <w:bCs/>
          <w:color w:val="333333"/>
          <w:sz w:val="21"/>
          <w:szCs w:val="21"/>
        </w:rPr>
        <w:t xml:space="preserve">Free Tier: </w:t>
      </w:r>
      <w:r>
        <w:rPr>
          <w:rFonts w:ascii="Arial" w:cs="Arial" w:eastAsia="Arial" w:hAnsi="Arial"/>
          <w:color w:val="333333"/>
          <w:sz w:val="21"/>
          <w:szCs w:val="21"/>
        </w:rPr>
        <w:t xml:space="preserve">Core compliance dashboard, unemployment counter, document vault (storage only), USCIS case status (via public API), basic reporting reminders, and educational OPT knowledge hub. This gives students enough value to recommend the app.</w:t>
      </w:r>
    </w:p>
    <w:p>
      <w:pPr>
        <w:spacing w:after="140" w:line="276"/>
      </w:pPr>
      <w:r>
        <w:rPr>
          <w:rFonts w:ascii="Arial" w:cs="Arial" w:eastAsia="Arial" w:hAnsi="Arial"/>
          <w:b/>
          <w:bCs/>
          <w:color w:val="333333"/>
          <w:sz w:val="21"/>
          <w:szCs w:val="21"/>
        </w:rPr>
        <w:t xml:space="preserve">OPTPal Pro ($4.99/month or $39/year): </w:t>
      </w:r>
      <w:r>
        <w:rPr>
          <w:rFonts w:ascii="Arial" w:cs="Arial" w:eastAsia="Arial" w:hAnsi="Arial"/>
          <w:color w:val="333333"/>
          <w:sz w:val="21"/>
          <w:szCs w:val="21"/>
        </w:rPr>
        <w:t xml:space="preserve">AI document extraction, I-983 drafting assistant, SEVP paragraph generator, DSO email drafts, FICA refund checker, travel risk advisor, policy alert feed, regulatory AI chat, and compliance health score. Target conversion: 15–20% of free users.</w:t>
      </w:r>
    </w:p>
    <w:p>
      <w:pPr>
        <w:spacing w:after="140" w:line="276"/>
      </w:pPr>
      <w:r>
        <w:rPr>
          <w:rFonts w:ascii="Arial" w:cs="Arial" w:eastAsia="Arial" w:hAnsi="Arial"/>
          <w:b/>
          <w:bCs/>
          <w:color w:val="333333"/>
          <w:sz w:val="21"/>
          <w:szCs w:val="21"/>
        </w:rPr>
        <w:t xml:space="preserve">Rationale: </w:t>
      </w:r>
      <w:r>
        <w:rPr>
          <w:rFonts w:ascii="Arial" w:cs="Arial" w:eastAsia="Arial" w:hAnsi="Arial"/>
          <w:color w:val="333333"/>
          <w:sz w:val="21"/>
          <w:szCs w:val="21"/>
        </w:rPr>
        <w:t xml:space="preserve">The FICA refund feature alone can recover $3,000+ for a single user. A $39/year subscription that saves you $3,000 has a 77x ROI. This is an easy upsell.</w:t>
      </w:r>
    </w:p>
    <w:p>
      <w:pPr>
        <w:spacing w:after="160"/>
      </w:pPr>
    </w:p>
    <w:p>
      <w:pPr>
        <w:pStyle w:val="Heading2"/>
        <w:spacing w:after="160" w:before="300"/>
      </w:pPr>
      <w:r>
        <w:rPr>
          <w:rFonts w:ascii="Arial" w:cs="Arial" w:eastAsia="Arial" w:hAnsi="Arial"/>
          <w:b/>
          <w:bCs/>
          <w:color w:val="2E86C1"/>
          <w:sz w:val="26"/>
          <w:szCs w:val="26"/>
        </w:rPr>
        <w:t xml:space="preserve">8.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CCCCCC" w:sz="1"/>
              <w:bottom w:val="single" w:color="CCCCCC" w:sz="1"/>
              <w:right w:val="single" w:color="CCCCCC" w:sz="1"/>
            </w:tcBorders>
            <w:shd w:fill="FDEDEC" w:val="clear"/>
            <w:tcMar>
              <w:top w:type="dxa" w:w="120"/>
              <w:left w:type="dxa" w:w="160"/>
              <w:bottom w:type="dxa" w:w="120"/>
              <w:right w:type="dxa" w:w="160"/>
            </w:tcMar>
          </w:tcPr>
          <w:p>
            <w:pPr>
              <w:spacing w:after="80"/>
            </w:pPr>
            <w:r>
              <w:rPr>
                <w:rFonts w:ascii="Arial" w:cs="Arial" w:eastAsia="Arial" w:hAnsi="Arial"/>
                <w:b/>
                <w:bCs/>
                <w:color w:val="27AE60"/>
                <w:sz w:val="21"/>
                <w:szCs w:val="21"/>
              </w:rPr>
              <w:t xml:space="preserve">[AGREE] </w:t>
            </w:r>
            <w:r>
              <w:rPr>
                <w:rFonts w:ascii="Arial" w:cs="Arial" w:eastAsia="Arial" w:hAnsi="Arial"/>
                <w:b/>
                <w:bCs/>
                <w:color w:val="1A1A1A"/>
                <w:sz w:val="23"/>
                <w:szCs w:val="23"/>
              </w:rPr>
              <w:t xml:space="preserve">Both models are right — biometric lock alone is insufficient</w:t>
            </w:r>
          </w:p>
          <w:p>
            <w:pPr>
              <w:spacing w:after="0" w:line="260"/>
            </w:pPr>
            <w:r>
              <w:rPr>
                <w:rFonts w:ascii="Arial" w:cs="Arial" w:eastAsia="Arial" w:hAnsi="Arial"/>
                <w:color w:val="444444"/>
                <w:sz w:val="20"/>
                <w:szCs w:val="20"/>
              </w:rPr>
              <w:t xml:space="preserve">The existing SecurityManager.kt and SecureVaultDatabase.kt code provides a good foundation, but the active app flow bypasses it entirely and uses plain Firestore/Storage. For an app storing passports, EADs, and SSNs, this is a critical gap.</w:t>
            </w:r>
          </w:p>
        </w:tc>
      </w:tr>
    </w:tbl>
    <w:p>
      <w:pPr>
        <w:spacing w:after="160"/>
      </w:pPr>
    </w:p>
    <w:p>
      <w:pPr>
        <w:spacing w:after="140" w:line="276"/>
      </w:pPr>
      <w:r>
        <w:rPr>
          <w:rFonts w:ascii="Arial" w:cs="Arial" w:eastAsia="Arial" w:hAnsi="Arial"/>
          <w:b/>
          <w:bCs/>
          <w:color w:val="333333"/>
          <w:sz w:val="21"/>
          <w:szCs w:val="21"/>
        </w:rPr>
        <w:t xml:space="preserve">Revised security architecture (5 layers): </w:t>
      </w:r>
      <w:r>
        <w:rPr>
          <w:rFonts w:ascii="Arial" w:cs="Arial" w:eastAsia="Arial" w:hAnsi="Arial"/>
          <w:color w:val="333333"/>
          <w:sz w:val="21"/>
          <w:szCs w:val="21"/>
        </w:rPr>
        <w:t xml:space="preserve"/>
      </w:r>
    </w:p>
    <w:p>
      <w:pPr>
        <w:spacing w:after="140" w:line="276"/>
      </w:pPr>
      <w:r>
        <w:rPr>
          <w:rFonts w:ascii="Arial" w:cs="Arial" w:eastAsia="Arial" w:hAnsi="Arial"/>
          <w:b/>
          <w:bCs/>
          <w:color w:val="333333"/>
          <w:sz w:val="21"/>
          <w:szCs w:val="21"/>
        </w:rPr>
        <w:t xml:space="preserve">Layer 1 — App Access: </w:t>
      </w:r>
      <w:r>
        <w:rPr>
          <w:rFonts w:ascii="Arial" w:cs="Arial" w:eastAsia="Arial" w:hAnsi="Arial"/>
          <w:color w:val="333333"/>
          <w:sz w:val="21"/>
          <w:szCs w:val="21"/>
        </w:rPr>
        <w:t xml:space="preserve">Android BiometricPrompt for fingerprint/face unlock. Session timeout after 5 minutes of inactivity.</w:t>
      </w:r>
    </w:p>
    <w:p>
      <w:pPr>
        <w:spacing w:after="140" w:line="276"/>
      </w:pPr>
      <w:r>
        <w:rPr>
          <w:rFonts w:ascii="Arial" w:cs="Arial" w:eastAsia="Arial" w:hAnsi="Arial"/>
          <w:b/>
          <w:bCs/>
          <w:color w:val="333333"/>
          <w:sz w:val="21"/>
          <w:szCs w:val="21"/>
        </w:rPr>
        <w:t xml:space="preserve">Layer 2 — Local Encryption: </w:t>
      </w:r>
      <w:r>
        <w:rPr>
          <w:rFonts w:ascii="Arial" w:cs="Arial" w:eastAsia="Arial" w:hAnsi="Arial"/>
          <w:color w:val="333333"/>
          <w:sz w:val="21"/>
          <w:szCs w:val="21"/>
        </w:rPr>
        <w:t xml:space="preserve">Activate the existing Keystore encryption for all cached documents. No PII stored in plaintext on device.</w:t>
      </w:r>
    </w:p>
    <w:p>
      <w:pPr>
        <w:spacing w:after="140" w:line="276"/>
      </w:pPr>
      <w:r>
        <w:rPr>
          <w:rFonts w:ascii="Arial" w:cs="Arial" w:eastAsia="Arial" w:hAnsi="Arial"/>
          <w:b/>
          <w:bCs/>
          <w:color w:val="333333"/>
          <w:sz w:val="21"/>
          <w:szCs w:val="21"/>
        </w:rPr>
        <w:t xml:space="preserve">Layer 3 — Cloud Encryption: </w:t>
      </w:r>
      <w:r>
        <w:rPr>
          <w:rFonts w:ascii="Arial" w:cs="Arial" w:eastAsia="Arial" w:hAnsi="Arial"/>
          <w:color w:val="333333"/>
          <w:sz w:val="21"/>
          <w:szCs w:val="21"/>
        </w:rPr>
        <w:t xml:space="preserve">Client-side encryption before upload to Firebase Storage. Encryption keys derived from user’s auth credentials via HKDF, stored in Android Keystore. If Firebase is breached, documents are unreadable ciphertext.</w:t>
      </w:r>
    </w:p>
    <w:p>
      <w:pPr>
        <w:spacing w:after="140" w:line="276"/>
      </w:pPr>
      <w:r>
        <w:rPr>
          <w:rFonts w:ascii="Arial" w:cs="Arial" w:eastAsia="Arial" w:hAnsi="Arial"/>
          <w:b/>
          <w:bCs/>
          <w:color w:val="333333"/>
          <w:sz w:val="21"/>
          <w:szCs w:val="21"/>
        </w:rPr>
        <w:t xml:space="preserve">Layer 4 — Processing Consent: </w:t>
      </w:r>
      <w:r>
        <w:rPr>
          <w:rFonts w:ascii="Arial" w:cs="Arial" w:eastAsia="Arial" w:hAnsi="Arial"/>
          <w:color w:val="333333"/>
          <w:sz w:val="21"/>
          <w:szCs w:val="21"/>
        </w:rPr>
        <w:t xml:space="preserve">Explicit user consent before any document is sent to Vision API or Gemini for OCR/extraction. Show a clear preview: “This document will be sent to Google’s AI service for text extraction. Proceed?”</w:t>
      </w:r>
    </w:p>
    <w:p>
      <w:pPr>
        <w:spacing w:after="140" w:line="276"/>
      </w:pPr>
      <w:r>
        <w:rPr>
          <w:rFonts w:ascii="Arial" w:cs="Arial" w:eastAsia="Arial" w:hAnsi="Arial"/>
          <w:b/>
          <w:bCs/>
          <w:color w:val="333333"/>
          <w:sz w:val="21"/>
          <w:szCs w:val="21"/>
        </w:rPr>
        <w:t xml:space="preserve">Layer 5 — Data Governance: </w:t>
      </w:r>
      <w:r>
        <w:rPr>
          <w:rFonts w:ascii="Arial" w:cs="Arial" w:eastAsia="Arial" w:hAnsi="Arial"/>
          <w:color w:val="333333"/>
          <w:sz w:val="21"/>
          <w:szCs w:val="21"/>
        </w:rPr>
        <w:t xml:space="preserve">Granular document deletion (user can delete individual docs from cloud). Full data export as ZIP. Audit log for all automated actions. Minimal retention: extracted text/metadata is stored; raw images can be deleted after extraction if user chooses.</w:t>
      </w:r>
    </w:p>
    <w:p>
      <w:r>
        <w:br w:type="page"/>
      </w:r>
    </w:p>
    <w:p>
      <w:pPr>
        <w:pStyle w:val="Heading1"/>
        <w:pBdr>
          <w:bottom w:val="single" w:color="1B5E8C" w:sz="4" w:space="4"/>
        </w:pBdr>
        <w:spacing w:after="200" w:before="360"/>
      </w:pPr>
      <w:r>
        <w:rPr>
          <w:rFonts w:ascii="Arial" w:cs="Arial" w:eastAsia="Arial" w:hAnsi="Arial"/>
          <w:b/>
          <w:bCs/>
          <w:color w:val="1B5E8C"/>
          <w:sz w:val="30"/>
          <w:szCs w:val="30"/>
        </w:rPr>
        <w:t xml:space="preserve">Part 2: The Narrowed MVP</w:t>
      </w:r>
    </w:p>
    <w:p>
      <w:pPr>
        <w:spacing w:after="140" w:line="276"/>
      </w:pPr>
      <w:r>
        <w:rPr>
          <w:rFonts w:ascii="Arial" w:cs="Arial" w:eastAsia="Arial" w:hAnsi="Arial"/>
          <w:color w:val="333333"/>
          <w:sz w:val="21"/>
          <w:szCs w:val="21"/>
        </w:rPr>
        <w:t xml:space="preserve">ChatGPT correctly identified that 28 features is product ambition, not launch discipline. However, their proposed 7-feature MVP is slightly too narrow—it omits the policy alert feed, which is critical given the current regulatory volatility, and omits the compliance health score, which is the key engagement driver.</w:t>
      </w:r>
    </w:p>
    <w:p>
      <w:pPr>
        <w:spacing w:after="140" w:line="276"/>
      </w:pPr>
      <w:r>
        <w:rPr>
          <w:rFonts w:ascii="Arial" w:cs="Arial" w:eastAsia="Arial" w:hAnsi="Arial"/>
          <w:color w:val="333333"/>
          <w:sz w:val="21"/>
          <w:szCs w:val="21"/>
        </w:rPr>
        <w:t xml:space="preserve">Here is the revised MVP: 9 features, split into two phases.</w:t>
      </w:r>
    </w:p>
    <w:p>
      <w:pPr>
        <w:spacing w:after="160"/>
      </w:pPr>
    </w:p>
    <w:p>
      <w:pPr>
        <w:pStyle w:val="Heading2"/>
        <w:spacing w:after="160" w:before="300"/>
      </w:pPr>
      <w:r>
        <w:rPr>
          <w:rFonts w:ascii="Arial" w:cs="Arial" w:eastAsia="Arial" w:hAnsi="Arial"/>
          <w:b/>
          <w:bCs/>
          <w:color w:val="2E86C1"/>
          <w:sz w:val="26"/>
          <w:szCs w:val="26"/>
        </w:rPr>
        <w:t xml:space="preserve">Phase 1: Closed Beta (Current → 8 weeks)</w:t>
      </w:r>
    </w:p>
    <w:p>
      <w:pPr>
        <w:spacing w:after="140" w:line="276"/>
      </w:pPr>
      <w:r>
        <w:t>These features build on what already exists in the codebase and deliver the core value proposition. Status update (March 10, 2026): Features 1, 2, 3, 4, 5, 6, 7, 8, and 9 are completed. The revised 9-feature MVP is complete. The next best implementation target is the first post-launch feature, I-983 AI Assistant.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gridCol w:w="5660"/>
      </w:tblGrid>
      <w:tr>
        <w:tc>
          <w:tcPr>
            <w:tcW w:type="dxa" w:w="5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56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What Ships</w:t>
            </w:r>
          </w:p>
        </w:tc>
        <w:tc>
          <w:tcPr>
            <w:tcW w:type="dxa" w:w="5660"/>
          </w:tcPr>
          <w:p>
            <w:pPr>
              <w:jc w:val="center"/>
            </w:pPr>
            <w:r>
              <w:rPr>
                <w:b/>
              </w:rPr>
              <w:t>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AI Onboarding + Doc Extraction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Scan I-20 and EAD to auto-populate profile (SEVIS ID, OPT dates, CIP code, school). Replaces manual setup. Uses existing Vision API + Gemini pipeline.</w:t>
            </w:r>
          </w:p>
        </w:tc>
        <w:tc>
          <w:tcPr>
            <w:tcW w:type="dxa" w:w="5660"/>
          </w:tcPr>
          <w:p>
            <w:pPr>
              <w:jc w:val="center"/>
            </w:pPr>
            <w:r>
              <w:rPr>
                <w:b/>
              </w:rPr>
              <w:t>Completed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Predictive Unemployment Counter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Upgrade existing counter with projection (“you’ll hit Day 91 on [date]”), escalating push alerts at 60/75/80/85/88 days, and part-time (&lt;20 hrs) awareness.</w:t>
            </w:r>
          </w:p>
        </w:tc>
        <w:tc>
          <w:tcPr>
            <w:tcW w:type="dxa" w:w="5660"/>
          </w:tcPr>
          <w:p>
            <w:r>
              <w:t>Completed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USCIS Case Status Tracker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Enter I-765 receipt number, poll USCIS API, AI-parse the status paragraph into plain-English status + next action. Push notification on status changes.</w:t>
            </w:r>
          </w:p>
        </w:tc>
        <w:tc>
          <w:tcPr>
            <w:tcW w:type="dxa" w:w="5660"/>
          </w:tcPr>
          <w:p>
            <w:r>
              <w:t>Completed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SEVP Reporting Wizard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When employment changes, auto-generate SEVP Portal checklist + AI-draft the “job relates to major” paragraph (user reviews and copies). 10-day deadline reminders.</w:t>
            </w:r>
          </w:p>
        </w:tc>
        <w:tc>
          <w:tcPr>
            <w:tcW w:type="dxa" w:w="5660"/>
          </w:tcPr>
          <w:p>
            <w:r>
              <w:t>Completed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Security Baseline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Biometric lock, Keystore encryption for local cache, client-side encryption before cloud upload, processing consent dialogs.</w:t>
            </w:r>
          </w:p>
        </w:tc>
        <w:tc>
          <w:tcPr>
            <w:tcW w:type="dxa" w:w="5660"/>
          </w:tcPr>
          <w:p>
            <w:pPr>
              <w:jc w:val="center"/>
            </w:pPr>
            <w:r>
              <w:rPr>
                <w:b/>
              </w:rPr>
              <w:t>Completed</w:t>
            </w:r>
          </w:p>
        </w:tc>
      </w:tr>
    </w:tbl>
    <w:p>
      <w:pPr>
        <w:spacing w:after="160"/>
      </w:pPr>
    </w:p>
    <w:p>
      <w:pPr>
        <w:pStyle w:val="Heading2"/>
        <w:spacing w:after="160" w:before="300"/>
      </w:pPr>
      <w:r>
        <w:rPr>
          <w:rFonts w:ascii="Arial" w:cs="Arial" w:eastAsia="Arial" w:hAnsi="Arial"/>
          <w:b/>
          <w:bCs/>
          <w:color w:val="2E86C1"/>
          <w:sz w:val="26"/>
          <w:szCs w:val="26"/>
        </w:rPr>
        <w:t xml:space="preserve">Phase 2: Public Launch (Beta + 6 weeks)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gridCol w:w="5660"/>
      </w:tblGrid>
      <w:tr>
        <w:tc>
          <w:tcPr>
            <w:tcW w:type="dxa" w:w="5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56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What Ships</w:t>
            </w:r>
          </w:p>
        </w:tc>
        <w:tc>
          <w:tcPr>
            <w:tcW w:type="dxa" w:w="5660"/>
          </w:tcPr>
          <w:p>
            <w:pPr>
              <w:jc w:val="center"/>
            </w:pPr>
            <w:r>
              <w:rPr>
                <w:b/>
              </w:rPr>
              <w:t>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FICA Tax Refund Checker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Upload W-2, AI detects FICA withholding on nonresident, calculates refund amount, generates employer letter template + Form 843 guidance. The money feature.</w:t>
            </w:r>
          </w:p>
        </w:tc>
        <w:tc>
          <w:tcPr>
            <w:tcW w:type="dxa" w:w="5660"/>
          </w:tcPr>
          <w:p>
            <w:r>
              <w:t>Completed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Travel Risk Advisor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Pre-travel checklist: passport validity, visa stamp, I-20 signature age, EAD, cap-gap status. Go/no-go with cited sources. Cap-gap travel = hard stop + attorney referral.</w:t>
            </w:r>
          </w:p>
        </w:tc>
        <w:tc>
          <w:tcPr>
            <w:tcW w:type="dxa" w:w="5660"/>
          </w:tcPr>
          <w:p>
            <w:r>
              <w:t>Completed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Policy Alert Feed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Curated (not generative) rule cards for policy changes affecting OPT. Each card has: what changed, effective date, who’s affected, source link, and confidence level. Updated by Cloud Function + human review before push.</w:t>
            </w:r>
          </w:p>
        </w:tc>
        <w:tc>
          <w:tcPr>
            <w:tcW w:type="dxa" w:w="5660"/>
          </w:tcPr>
          <w:p>
            <w:r>
              <w:t>Completed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Compliance Health Score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Single 0–100 score on dashboard. Weighted factors: unemployment days, document expirations, reporting status, USCIS case progress. The daily engagement hook.</w:t>
            </w:r>
          </w:p>
        </w:tc>
        <w:tc>
          <w:tcPr>
            <w:tcW w:type="dxa" w:w="5660"/>
          </w:tcPr>
          <w:p>
            <w:r>
              <w:t>Completed</w:t>
            </w:r>
          </w:p>
        </w:tc>
      </w:tr>
    </w:tbl>
    <w:p>
      <w:pPr>
        <w:spacing w:after="160"/>
      </w:pPr>
    </w:p>
    <w:p>
      <w:pPr>
        <w:spacing w:after="140" w:line="276"/>
      </w:pPr>
      <w:r>
        <w:rPr>
          <w:rFonts w:ascii="Arial" w:cs="Arial" w:eastAsia="Arial" w:hAnsi="Arial"/>
          <w:b/>
          <w:bCs/>
          <w:color w:val="333333"/>
          <w:sz w:val="21"/>
          <w:szCs w:val="21"/>
        </w:rPr>
        <w:t xml:space="preserve">Everything else from the original 28 features moves to post-launch. </w:t>
      </w:r>
      <w:r>
        <w:rPr>
          <w:rFonts w:ascii="Arial" w:cs="Arial" w:eastAsia="Arial" w:hAnsi="Arial"/>
          <w:color w:val="333333"/>
          <w:sz w:val="21"/>
          <w:szCs w:val="21"/>
        </w:rPr>
        <w:t xml:space="preserve">I-983 AI Assistant, Visa Pathway Planner, H-1B Dashboard, Scenario Simulator, Peer Data, DSO Directory, Multi-Language, and Widget all ship in v1.1–v1.3 based on user demand signals.</w:t>
      </w:r>
    </w:p>
    <w:p>
      <w:r>
        <w:br w:type="page"/>
      </w:r>
    </w:p>
    <w:p>
      <w:pPr>
        <w:pStyle w:val="Heading1"/>
        <w:pBdr>
          <w:bottom w:val="single" w:color="1B5E8C" w:sz="4" w:space="4"/>
        </w:pBdr>
        <w:spacing w:after="200" w:before="360"/>
      </w:pPr>
      <w:r>
        <w:rPr>
          <w:rFonts w:ascii="Arial" w:cs="Arial" w:eastAsia="Arial" w:hAnsi="Arial"/>
          <w:b/>
          <w:bCs/>
          <w:color w:val="1B5E8C"/>
          <w:sz w:val="30"/>
          <w:szCs w:val="30"/>
        </w:rPr>
        <w:t xml:space="preserve">Part 3: Trust Architecture</w:t>
      </w:r>
    </w:p>
    <w:p>
      <w:pPr>
        <w:spacing w:after="140" w:line="276"/>
      </w:pPr>
      <w:r>
        <w:rPr>
          <w:rFonts w:ascii="Arial" w:cs="Arial" w:eastAsia="Arial" w:hAnsi="Arial"/>
          <w:color w:val="333333"/>
          <w:sz w:val="21"/>
          <w:szCs w:val="21"/>
        </w:rPr>
        <w:t xml:space="preserve">ChatGPT’s point about building an “evidence system” rather than just an “AI system” is the single most important insight from either review. In immigration, one wrong answer destroys trust permanently. Here is the full trust architecture.</w:t>
      </w:r>
    </w:p>
    <w:p>
      <w:pPr>
        <w:spacing w:after="160"/>
      </w:pPr>
    </w:p>
    <w:p>
      <w:pPr>
        <w:pStyle w:val="Heading2"/>
        <w:spacing w:after="160" w:before="300"/>
      </w:pPr>
      <w:r>
        <w:rPr>
          <w:rFonts w:ascii="Arial" w:cs="Arial" w:eastAsia="Arial" w:hAnsi="Arial"/>
          <w:b/>
          <w:bCs/>
          <w:color w:val="2E86C1"/>
          <w:sz w:val="26"/>
          <w:szCs w:val="26"/>
        </w:rPr>
        <w:t xml:space="preserve">3.1 Citation-Grounded Responses</w:t>
      </w:r>
    </w:p>
    <w:p>
      <w:pPr>
        <w:spacing w:after="140" w:line="276"/>
      </w:pPr>
      <w:r>
        <w:rPr>
          <w:rFonts w:ascii="Arial" w:cs="Arial" w:eastAsia="Arial" w:hAnsi="Arial"/>
          <w:b/>
          <w:bCs/>
          <w:color w:val="333333"/>
          <w:sz w:val="21"/>
          <w:szCs w:val="21"/>
        </w:rPr>
        <w:t xml:space="preserve">Every AI response that references a regulation must include: </w:t>
      </w:r>
      <w:r>
        <w:rPr>
          <w:rFonts w:ascii="Arial" w:cs="Arial" w:eastAsia="Arial" w:hAnsi="Arial"/>
          <w:color w:val="333333"/>
          <w:sz w:val="21"/>
          <w:szCs w:val="21"/>
        </w:rPr>
        <w:t xml:space="preserve">(1) the specific CFR section or USCIS policy memo, (2) the effective date of that regulation, (3) a last-verified timestamp showing when OPTPal last confirmed the rule is current. Example: “Post-completion OPT allows a maximum of 90 calendar days of unemployment [8 CFR 214.2(f)(10)(ii)(A), verified March 2026].”</w:t>
      </w:r>
    </w:p>
    <w:p>
      <w:pPr>
        <w:pStyle w:val="Heading2"/>
        <w:spacing w:after="160" w:before="300"/>
      </w:pPr>
      <w:r>
        <w:rPr>
          <w:rFonts w:ascii="Arial" w:cs="Arial" w:eastAsia="Arial" w:hAnsi="Arial"/>
          <w:b/>
          <w:bCs/>
          <w:color w:val="2E86C1"/>
          <w:sz w:val="26"/>
          <w:szCs w:val="26"/>
        </w:rPr>
        <w:t xml:space="preserve">3.2 Confidence Labels</w:t>
      </w:r>
    </w:p>
    <w:p>
      <w:pPr>
        <w:spacing w:after="140" w:line="276"/>
      </w:pPr>
      <w:r>
        <w:rPr>
          <w:rFonts w:ascii="Arial" w:cs="Arial" w:eastAsia="Arial" w:hAnsi="Arial"/>
          <w:b/>
          <w:bCs/>
          <w:color w:val="27AE60"/>
          <w:sz w:val="21"/>
          <w:szCs w:val="21"/>
        </w:rPr>
        <w:t xml:space="preserve">HIGH </w:t>
      </w:r>
      <w:r>
        <w:rPr>
          <w:rFonts w:ascii="Arial" w:cs="Arial" w:eastAsia="Arial" w:hAnsi="Arial"/>
          <w:color w:val="333333"/>
          <w:sz w:val="21"/>
          <w:szCs w:val="21"/>
        </w:rPr>
        <w:t xml:space="preserve">— Based on explicit regulatory text or USCIS policy memo. The rule is clear and unambiguous.</w:t>
      </w:r>
    </w:p>
    <w:p>
      <w:pPr>
        <w:spacing w:after="140" w:line="276"/>
      </w:pPr>
      <w:r>
        <w:rPr>
          <w:rFonts w:ascii="Arial" w:cs="Arial" w:eastAsia="Arial" w:hAnsi="Arial"/>
          <w:b/>
          <w:bCs/>
          <w:color w:val="E67E22"/>
          <w:sz w:val="21"/>
          <w:szCs w:val="21"/>
        </w:rPr>
        <w:t xml:space="preserve">MEDIUM </w:t>
      </w:r>
      <w:r>
        <w:rPr>
          <w:rFonts w:ascii="Arial" w:cs="Arial" w:eastAsia="Arial" w:hAnsi="Arial"/>
          <w:color w:val="333333"/>
          <w:sz w:val="21"/>
          <w:szCs w:val="21"/>
        </w:rPr>
        <w:t xml:space="preserve">— Based on SEVP guidance, university ISS interpretations, or NAFSA advisory. The rule is generally accepted but has edge cases.</w:t>
      </w:r>
    </w:p>
    <w:p>
      <w:pPr>
        <w:spacing w:after="140" w:line="276"/>
      </w:pPr>
      <w:r>
        <w:rPr>
          <w:rFonts w:ascii="Arial" w:cs="Arial" w:eastAsia="Arial" w:hAnsi="Arial"/>
          <w:b/>
          <w:bCs/>
          <w:color w:val="C0392B"/>
          <w:sz w:val="21"/>
          <w:szCs w:val="21"/>
        </w:rPr>
        <w:t xml:space="preserve">LOW / CONSULT PROFESSIONAL </w:t>
      </w:r>
      <w:r>
        <w:rPr>
          <w:rFonts w:ascii="Arial" w:cs="Arial" w:eastAsia="Arial" w:hAnsi="Arial"/>
          <w:color w:val="333333"/>
          <w:sz w:val="21"/>
          <w:szCs w:val="21"/>
        </w:rPr>
        <w:t xml:space="preserve">— Situation-specific, involves conflicting guidance, or depends on facts the app cannot verify. Always accompanied by DSO/attorney referral.</w:t>
      </w:r>
    </w:p>
    <w:p>
      <w:pPr>
        <w:pStyle w:val="Heading2"/>
        <w:spacing w:after="160" w:before="300"/>
      </w:pPr>
      <w:r>
        <w:rPr>
          <w:rFonts w:ascii="Arial" w:cs="Arial" w:eastAsia="Arial" w:hAnsi="Arial"/>
          <w:b/>
          <w:bCs/>
          <w:color w:val="2E86C1"/>
          <w:sz w:val="26"/>
          <w:szCs w:val="26"/>
        </w:rPr>
        <w:t xml:space="preserve">3.3 Policy Changelog</w:t>
      </w:r>
    </w:p>
    <w:p>
      <w:pPr>
        <w:spacing w:after="140" w:line="276"/>
      </w:pPr>
      <w:r>
        <w:rPr>
          <w:rFonts w:ascii="Arial" w:cs="Arial" w:eastAsia="Arial" w:hAnsi="Arial"/>
          <w:color w:val="333333"/>
          <w:sz w:val="21"/>
          <w:szCs w:val="21"/>
        </w:rPr>
        <w:t xml:space="preserve">Maintain a visible, user-accessible log of every regulatory change the app has incorporated, with date, source, and summary. When a user sees “Updated March 5, 2026: Cap-gap extension now runs to April 1 per H-1B Modernization Rule (effective Jan 17, 2025),” they trust that the app is current.</w:t>
      </w:r>
    </w:p>
    <w:p>
      <w:pPr>
        <w:pStyle w:val="Heading2"/>
        <w:spacing w:after="160" w:before="300"/>
      </w:pPr>
      <w:r>
        <w:rPr>
          <w:rFonts w:ascii="Arial" w:cs="Arial" w:eastAsia="Arial" w:hAnsi="Arial"/>
          <w:b/>
          <w:bCs/>
          <w:color w:val="2E86C1"/>
          <w:sz w:val="26"/>
          <w:szCs w:val="26"/>
        </w:rPr>
        <w:t xml:space="preserve">3.4 Curated Rule Cards Over Generative Summaries</w:t>
      </w:r>
    </w:p>
    <w:p>
      <w:pPr>
        <w:spacing w:after="140" w:line="276"/>
      </w:pPr>
      <w:r>
        <w:rPr>
          <w:rFonts w:ascii="Arial" w:cs="Arial" w:eastAsia="Arial" w:hAnsi="Arial"/>
          <w:color w:val="333333"/>
          <w:sz w:val="21"/>
          <w:szCs w:val="21"/>
        </w:rPr>
        <w:t xml:space="preserve">For the policy alert feed specifically, do NOT use pure generative AI to summarize policy changes and push them to users. A hallucinated policy alert could cause a student to make a catastrophic decision. Instead: Cloud Function detects new content on USCIS alerts/Federal Register. Gemini drafts a summary. A human reviewer (you, initially) approves the card before it pushes to users. This is the editorial model that Lawfully uses for their news feed, and it’s the right one for a trust-first product.</w:t>
      </w:r>
    </w:p>
    <w:p>
      <w:pPr>
        <w:pStyle w:val="Heading2"/>
        <w:spacing w:after="160" w:before="300"/>
      </w:pPr>
      <w:r>
        <w:rPr>
          <w:rFonts w:ascii="Arial" w:cs="Arial" w:eastAsia="Arial" w:hAnsi="Arial"/>
          <w:b/>
          <w:bCs/>
          <w:color w:val="2E86C1"/>
          <w:sz w:val="26"/>
          <w:szCs w:val="26"/>
        </w:rPr>
        <w:t xml:space="preserve">3.5 Escalation Flows</w:t>
      </w:r>
    </w:p>
    <w:p>
      <w:pPr>
        <w:spacing w:after="140" w:line="276"/>
      </w:pPr>
      <w:r>
        <w:rPr>
          <w:rFonts w:ascii="Arial" w:cs="Arial" w:eastAsia="Arial" w:hAnsi="Arial"/>
          <w:color w:val="333333"/>
          <w:sz w:val="21"/>
          <w:szCs w:val="21"/>
        </w:rPr>
        <w:t xml:space="preserve">Hard-coded triggers that bypass AI and display a “contact your DSO or attorney” screen. These include: any question about arrests, criminal history, or status violations; any travel question involving cap-gap with pending change-of-status; questions about RFE responses; questions about working for multiple employers on STEM OPT; questions about unauthorized employment; and any scenario where the user’s unemployment counter exceeds 85 days.</w:t>
      </w:r>
    </w:p>
    <w:p>
      <w:r>
        <w:br w:type="page"/>
      </w:r>
    </w:p>
    <w:p>
      <w:pPr>
        <w:pStyle w:val="Heading1"/>
        <w:pBdr>
          <w:bottom w:val="single" w:color="1B5E8C" w:sz="4" w:space="4"/>
        </w:pBdr>
        <w:spacing w:after="200" w:before="360"/>
      </w:pPr>
      <w:r>
        <w:rPr>
          <w:rFonts w:ascii="Arial" w:cs="Arial" w:eastAsia="Arial" w:hAnsi="Arial"/>
          <w:b/>
          <w:bCs/>
          <w:color w:val="1B5E8C"/>
          <w:sz w:val="30"/>
          <w:szCs w:val="30"/>
        </w:rPr>
        <w:t xml:space="preserve">Part 4: All Corrected Facts</w:t>
      </w:r>
    </w:p>
    <w:p>
      <w:pPr>
        <w:spacing w:after="140" w:line="276"/>
      </w:pPr>
      <w:r>
        <w:rPr>
          <w:rFonts w:ascii="Arial" w:cs="Arial" w:eastAsia="Arial" w:hAnsi="Arial"/>
          <w:color w:val="333333"/>
          <w:sz w:val="21"/>
          <w:szCs w:val="21"/>
        </w:rPr>
        <w:t xml:space="preserve">Summary of every factual correction applied to the roadmap based on independent verification: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Claim</w:t>
            </w:r>
          </w:p>
        </w:tc>
        <w:tc>
          <w:tcPr>
            <w:tcW w:type="dxa" w:w="33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Original</w:t>
            </w:r>
          </w:p>
        </w:tc>
        <w:tc>
          <w:tcPr>
            <w:tcW w:type="dxa" w:w="33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Corrected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Market size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“over 500,000 active OPT participants”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~290,000 on post-completion OPT + STEM OPT; ~380,000 total with all practical training (2024 SEVP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Social media review</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“since August 2025”</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USCIS announced April 9, 2025; expanded screening in June and December 2025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Competition claim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comprehensive mobile app”</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Lawfully (generic tracker, 2.5M users), OPTimize (iOS timeline planner), Case Tracker exist but none combine OPT compliance + AI + docs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Employer fraud flags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fraud flags” as verifiable data</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public employer fraud registry exists. Feature limited to E-Verify status + H-1B history + educational fraud warnings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Cap-gap end date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Previously “October 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Extended to April 1 under H-1B Modernization Rule effective January 17, 2025</w:t>
            </w:r>
          </w:p>
        </w:tc>
      </w:tr>
    </w:tbl>
    <w:p>
      <w:pPr>
        <w:spacing w:after="160"/>
      </w:pPr>
    </w:p>
    <w:p>
      <w:pPr>
        <w:spacing w:after="160"/>
      </w:pPr>
    </w:p>
    <w:p>
      <w:pPr>
        <w:pStyle w:val="Heading1"/>
        <w:pBdr>
          <w:bottom w:val="single" w:color="1B5E8C" w:sz="4" w:space="4"/>
        </w:pBdr>
        <w:spacing w:after="200" w:before="360"/>
      </w:pPr>
      <w:r>
        <w:rPr>
          <w:rFonts w:ascii="Arial" w:cs="Arial" w:eastAsia="Arial" w:hAnsi="Arial"/>
          <w:b/>
          <w:bCs/>
          <w:color w:val="1B5E8C"/>
          <w:sz w:val="30"/>
          <w:szCs w:val="30"/>
        </w:rPr>
        <w:t xml:space="preserve">Part 5: Go-to-Market Strategy</w:t>
      </w:r>
    </w:p>
    <w:p>
      <w:pPr>
        <w:spacing w:after="140" w:line="276"/>
      </w:pPr>
      <w:r>
        <w:rPr>
          <w:rFonts w:ascii="Arial" w:cs="Arial" w:eastAsia="Arial" w:hAnsi="Arial"/>
          <w:color w:val="333333"/>
          <w:sz w:val="21"/>
          <w:szCs w:val="21"/>
        </w:rPr>
        <w:t xml:space="preserve">ChatGPT correctly identified that GTM was missing from the original roadmap. Here is the plan:</w:t>
      </w:r>
    </w:p>
    <w:p>
      <w:pPr>
        <w:spacing w:after="160"/>
      </w:pPr>
    </w:p>
    <w:p>
      <w:pPr>
        <w:pStyle w:val="Heading2"/>
        <w:spacing w:after="160" w:before="300"/>
      </w:pPr>
      <w:r>
        <w:rPr>
          <w:rFonts w:ascii="Arial" w:cs="Arial" w:eastAsia="Arial" w:hAnsi="Arial"/>
          <w:b/>
          <w:bCs/>
          <w:color w:val="2E86C1"/>
          <w:sz w:val="26"/>
          <w:szCs w:val="26"/>
        </w:rPr>
        <w:t xml:space="preserve">5.1 Campus Ambassador Program</w:t>
      </w:r>
    </w:p>
    <w:p>
      <w:pPr>
        <w:spacing w:after="140" w:line="276"/>
      </w:pPr>
      <w:r>
        <w:rPr>
          <w:rFonts w:ascii="Arial" w:cs="Arial" w:eastAsia="Arial" w:hAnsi="Arial"/>
          <w:color w:val="333333"/>
          <w:sz w:val="21"/>
          <w:szCs w:val="21"/>
        </w:rPr>
        <w:t xml:space="preserve">Recruit 1 student ambassador at each of the top 25 OPT-producing universities (these schools account for the majority of OPT approvals). Ambassador gets free Pro access + referral credit. They present OPTPal at their school’s ISS orientation and international student association meetings.</w:t>
      </w:r>
    </w:p>
    <w:p>
      <w:pPr>
        <w:pStyle w:val="Heading2"/>
        <w:spacing w:after="160" w:before="300"/>
      </w:pPr>
      <w:r>
        <w:rPr>
          <w:rFonts w:ascii="Arial" w:cs="Arial" w:eastAsia="Arial" w:hAnsi="Arial"/>
          <w:b/>
          <w:bCs/>
          <w:color w:val="2E86C1"/>
          <w:sz w:val="26"/>
          <w:szCs w:val="26"/>
        </w:rPr>
        <w:t xml:space="preserve">5.2 The FICA Recovery Hook</w:t>
      </w:r>
    </w:p>
    <w:p>
      <w:pPr>
        <w:spacing w:after="140" w:line="276"/>
      </w:pPr>
      <w:r>
        <w:rPr>
          <w:rFonts w:ascii="Arial" w:cs="Arial" w:eastAsia="Arial" w:hAnsi="Arial"/>
          <w:color w:val="333333"/>
          <w:sz w:val="21"/>
          <w:szCs w:val="21"/>
        </w:rPr>
        <w:t xml:space="preserve">The single strongest acquisition channel is word-of-mouth from students who recovered $3,000+ in incorrectly withheld FICA taxes. Build a shareable “I recovered $X with OPTPal” card that students post to WeChat groups, WhatsApp threads, and Reddit (r/f1visa, r/immigration). This creates organic virality with a concrete dollar-amount proof point.</w:t>
      </w:r>
    </w:p>
    <w:p>
      <w:pPr>
        <w:pStyle w:val="Heading2"/>
        <w:spacing w:after="160" w:before="300"/>
      </w:pPr>
      <w:r>
        <w:rPr>
          <w:rFonts w:ascii="Arial" w:cs="Arial" w:eastAsia="Arial" w:hAnsi="Arial"/>
          <w:b/>
          <w:bCs/>
          <w:color w:val="2E86C1"/>
          <w:sz w:val="26"/>
          <w:szCs w:val="26"/>
        </w:rPr>
        <w:t xml:space="preserve">5.3 SEO / Content</w:t>
      </w:r>
    </w:p>
    <w:p>
      <w:pPr>
        <w:spacing w:after="140" w:line="276"/>
      </w:pPr>
      <w:r>
        <w:rPr>
          <w:rFonts w:ascii="Arial" w:cs="Arial" w:eastAsia="Arial" w:hAnsi="Arial"/>
          <w:color w:val="333333"/>
          <w:sz w:val="21"/>
          <w:szCs w:val="21"/>
        </w:rPr>
        <w:t xml:space="preserve">Publish the OPT Knowledge Hub as a public website (not gated behind the app). Rank for long-tail queries like “how many unemployment days left on OPT,” “I-983 training plan example,” and “FICA refund F-1 student.” Each article ends with: “Track this automatically with OPTPal.”</w:t>
      </w:r>
    </w:p>
    <w:p>
      <w:pPr>
        <w:pStyle w:val="Heading2"/>
        <w:spacing w:after="160" w:before="300"/>
      </w:pPr>
      <w:r>
        <w:rPr>
          <w:rFonts w:ascii="Arial" w:cs="Arial" w:eastAsia="Arial" w:hAnsi="Arial"/>
          <w:b/>
          <w:bCs/>
          <w:color w:val="2E86C1"/>
          <w:sz w:val="26"/>
          <w:szCs w:val="26"/>
        </w:rPr>
        <w:t xml:space="preserve">5.4 University ISS Partnerships</w:t>
      </w:r>
    </w:p>
    <w:p>
      <w:pPr>
        <w:spacing w:after="140" w:line="276"/>
      </w:pPr>
      <w:r>
        <w:rPr>
          <w:rFonts w:ascii="Arial" w:cs="Arial" w:eastAsia="Arial" w:hAnsi="Arial"/>
          <w:color w:val="333333"/>
          <w:sz w:val="21"/>
          <w:szCs w:val="21"/>
        </w:rPr>
        <w:t xml:space="preserve">Approach ISS offices at pilot universities and offer OPTPal as a recommended tool. Many ISS offices already recommend Sprintax for taxes and the SEVP Portal for reporting—becoming a recommended OPT compliance tool alongside these is achievable and creates institutional trust.</w:t>
      </w:r>
    </w:p>
    <w:p>
      <w:r>
        <w:br w:type="page"/>
      </w:r>
    </w:p>
    <w:p>
      <w:pPr>
        <w:pStyle w:val="Heading1"/>
        <w:pBdr>
          <w:bottom w:val="single" w:color="1B5E8C" w:sz="4" w:space="4"/>
        </w:pBdr>
        <w:spacing w:after="200" w:before="360"/>
      </w:pPr>
      <w:r>
        <w:rPr>
          <w:rFonts w:ascii="Arial" w:cs="Arial" w:eastAsia="Arial" w:hAnsi="Arial"/>
          <w:b/>
          <w:bCs/>
          <w:color w:val="1B5E8C"/>
          <w:sz w:val="30"/>
          <w:szCs w:val="30"/>
        </w:rPr>
        <w:t xml:space="preserve">Part 6: Where Gemini and ChatGPT Were Wrong</w:t>
      </w:r>
    </w:p>
    <w:p>
      <w:pPr>
        <w:spacing w:after="160"/>
      </w:pPr>
    </w:p>
    <w:p>
      <w:pPr>
        <w:pStyle w:val="Heading2"/>
        <w:spacing w:after="160" w:before="300"/>
      </w:pPr>
      <w:r>
        <w:rPr>
          <w:rFonts w:ascii="Arial" w:cs="Arial" w:eastAsia="Arial" w:hAnsi="Arial"/>
          <w:b/>
          <w:bCs/>
          <w:color w:val="2E86C1"/>
          <w:sz w:val="26"/>
          <w:szCs w:val="26"/>
        </w:rPr>
        <w:t xml:space="preserve">6.1 Gemini’s “Day 1 CPT Module” Suggestion</w:t>
      </w:r>
    </w:p>
    <w:p>
      <w:pPr>
        <w:spacing w:after="140" w:line="276"/>
      </w:pPr>
      <w:r>
        <w:rPr>
          <w:rFonts w:ascii="Arial" w:cs="Arial" w:eastAsia="Arial" w:hAnsi="Arial"/>
          <w:color w:val="333333"/>
          <w:sz w:val="21"/>
          <w:szCs w:val="21"/>
        </w:rPr>
        <w:t xml:space="preserve">Not wrong as a future idea, but wrong as a priority. CPT has a completely different compliance framework (no unemployment tracking, no SEVP Portal self-reporting, no I-983). Adding it to the roadmap now would split engineering focus and dilute the OPT-specific positioning that makes this app defensible. File it under v2.</w:t>
      </w:r>
    </w:p>
    <w:p>
      <w:pPr>
        <w:pStyle w:val="Heading2"/>
        <w:spacing w:after="160" w:before="300"/>
      </w:pPr>
      <w:r>
        <w:rPr>
          <w:rFonts w:ascii="Arial" w:cs="Arial" w:eastAsia="Arial" w:hAnsi="Arial"/>
          <w:b/>
          <w:bCs/>
          <w:color w:val="2E86C1"/>
          <w:sz w:val="26"/>
          <w:szCs w:val="26"/>
        </w:rPr>
        <w:t xml:space="preserve">6.2 ChatGPT’s Demotion of Policy Alert Feed to P1</w:t>
      </w:r>
    </w:p>
    <w:p>
      <w:pPr>
        <w:spacing w:after="140" w:line="276"/>
      </w:pPr>
      <w:r>
        <w:rPr>
          <w:rFonts w:ascii="Arial" w:cs="Arial" w:eastAsia="Arial" w:hAnsi="Arial"/>
          <w:color w:val="333333"/>
          <w:sz w:val="21"/>
          <w:szCs w:val="21"/>
        </w:rPr>
        <w:t xml:space="preserve">ChatGPT argued the policy feed should be P1 because “false positives are dangerous.” This is correct about the risk but wrong about the priority. In March 2026, DHS is actively drafting rules to restrict OPT, the proposed D/S replacement would fundamentally change F-1 compliance, and the H-1B $100K fee proclamation is being challenged in court. Students NEED real-time awareness. The fix is not to demote it—it’s to implement it with the curated rule-card model (human review before push) rather than pure generative summaries. That’s what Part 3 addresses.</w:t>
      </w:r>
    </w:p>
    <w:p>
      <w:pPr>
        <w:pStyle w:val="Heading2"/>
        <w:spacing w:after="160" w:before="300"/>
      </w:pPr>
      <w:r>
        <w:rPr>
          <w:rFonts w:ascii="Arial" w:cs="Arial" w:eastAsia="Arial" w:hAnsi="Arial"/>
          <w:b/>
          <w:bCs/>
          <w:color w:val="2E86C1"/>
          <w:sz w:val="26"/>
          <w:szCs w:val="26"/>
        </w:rPr>
        <w:t xml:space="preserve">6.3 Gemini’s Framing of Security as “End-to-End Encryption Where Keys Stay on Device”</w:t>
      </w:r>
    </w:p>
    <w:p>
      <w:pPr>
        <w:spacing w:after="140" w:line="276"/>
      </w:pPr>
      <w:r>
        <w:rPr>
          <w:rFonts w:ascii="Arial" w:cs="Arial" w:eastAsia="Arial" w:hAnsi="Arial"/>
          <w:color w:val="333333"/>
          <w:sz w:val="21"/>
          <w:szCs w:val="21"/>
        </w:rPr>
        <w:t xml:space="preserve">This is technically ideal but practically problematic for a Firebase-backed app with cloud sync and Cloud Functions that need to run OCR on uploaded documents. If the server can’t decrypt documents, it can’t extract text from them. The realistic architecture is: client-side encryption for stored documents at rest in Cloud Storage, with a temporary decryption path during OCR processing (the document is decrypted in a secure Cloud Function environment, processed, and the raw image is then deletable). This is the pattern medical record apps like Epic MyChart use—not true E2E, but defense-in-depth with minimal exposure windows.</w:t>
      </w:r>
    </w:p>
    <w:p>
      <w:pPr>
        <w:pStyle w:val="Heading2"/>
        <w:spacing w:after="160" w:before="300"/>
      </w:pPr>
      <w:r>
        <w:rPr>
          <w:rFonts w:ascii="Arial" w:cs="Arial" w:eastAsia="Arial" w:hAnsi="Arial"/>
          <w:b/>
          <w:bCs/>
          <w:color w:val="2E86C1"/>
          <w:sz w:val="26"/>
          <w:szCs w:val="26"/>
        </w:rPr>
        <w:t xml:space="preserve">6.4 ChatGPT’s Claim That “Execution Readiness” is 6.9/10</w:t>
      </w:r>
    </w:p>
    <w:p>
      <w:pPr>
        <w:spacing w:after="140" w:line="276"/>
      </w:pPr>
      <w:r>
        <w:rPr>
          <w:rFonts w:ascii="Arial" w:cs="Arial" w:eastAsia="Arial" w:hAnsi="Arial"/>
          <w:color w:val="333333"/>
          <w:sz w:val="21"/>
          <w:szCs w:val="21"/>
        </w:rPr>
        <w:t xml:space="preserve">This seems to undervalue what’s already built. The existing codebase has working auth, Firestore-backed employment tracking with unemployment calculation, a document vault with camera scanning, Cloud Functions for OCR + Gemini extraction, a reporting hub, and an AI chat backed by document summaries. The Firebase Functions backend builds cleanly. The Android unit tests are behind production code, but that’s a test maintenance issue, not an architecture problem. Execution readiness is closer to 7.5–8.0 with the narrowed MVP.</w:t>
      </w:r>
    </w:p>
    <w:p>
      <w:pPr>
        <w:spacing w:after="160"/>
      </w:pPr>
    </w:p>
    <w:p>
      <w:pPr>
        <w:pStyle w:val="Heading1"/>
        <w:pBdr>
          <w:bottom w:val="single" w:color="1B5E8C" w:sz="4" w:space="4"/>
        </w:pBdr>
        <w:spacing w:after="200" w:before="360"/>
      </w:pPr>
      <w:r>
        <w:rPr>
          <w:rFonts w:ascii="Arial" w:cs="Arial" w:eastAsia="Arial" w:hAnsi="Arial"/>
          <w:b/>
          <w:bCs/>
          <w:color w:val="1B5E8C"/>
          <w:sz w:val="30"/>
          <w:szCs w:val="30"/>
        </w:rPr>
        <w:t xml:space="preserve">Final Updated Positioning</w:t>
      </w:r>
    </w:p>
    <w:p>
      <w:pPr>
        <w:pBdr>
          <w:top w:val="single" w:color="1B5E8C" w:sz="2" w:space="8"/>
          <w:bottom w:val="single" w:color="1B5E8C" w:sz="2" w:space="8"/>
        </w:pBdr>
        <w:spacing w:after="200" w:line="300"/>
        <w:jc w:val="center"/>
      </w:pPr>
      <w:r>
        <w:rPr>
          <w:rFonts w:ascii="Arial" w:cs="Arial" w:eastAsia="Arial" w:hAnsi="Arial"/>
          <w:b/>
          <w:bCs/>
          <w:i/>
          <w:iCs/>
          <w:color w:val="1B5E8C"/>
          <w:sz w:val="28"/>
          <w:szCs w:val="28"/>
        </w:rPr>
        <w:t xml:space="preserve">“The evidence-backed OPT status protection app.”</w:t>
      </w:r>
    </w:p>
    <w:p>
      <w:pPr>
        <w:spacing w:after="140" w:line="276"/>
      </w:pPr>
      <w:r>
        <w:rPr>
          <w:rFonts w:ascii="Arial" w:cs="Arial" w:eastAsia="Arial" w:hAnsi="Arial"/>
          <w:color w:val="333333"/>
          <w:sz w:val="21"/>
          <w:szCs w:val="21"/>
        </w:rPr>
        <w:t xml:space="preserve">ChatGPT nailed this framing. Not “AI immigration assistant.” Not “document scanner.” Not “chat app.”</w:t>
      </w:r>
    </w:p>
    <w:p>
      <w:pPr>
        <w:spacing w:after="140" w:line="276"/>
      </w:pPr>
      <w:r>
        <w:rPr>
          <w:rFonts w:ascii="Arial" w:cs="Arial" w:eastAsia="Arial" w:hAnsi="Arial"/>
          <w:b/>
          <w:bCs/>
          <w:color w:val="333333"/>
          <w:sz w:val="21"/>
          <w:szCs w:val="21"/>
        </w:rPr>
        <w:t xml:space="preserve">OPTPal protects your immigration status, saves you money, and gives you evidence-grounded answers to your most stressful questions.</w:t>
      </w:r>
    </w:p>
    <w:p>
      <w:pPr>
        <w:spacing w:after="140" w:line="276"/>
      </w:pPr>
      <w:r>
        <w:rPr>
          <w:rFonts w:ascii="Arial" w:cs="Arial" w:eastAsia="Arial" w:hAnsi="Arial"/>
          <w:color w:val="333333"/>
          <w:sz w:val="21"/>
          <w:szCs w:val="21"/>
        </w:rPr>
        <w:t xml:space="preserve">Ship Phase 1 in 8 weeks. Ship Phase 2 in 14 weeks. Let the FICA recovery feature drive word-of-mouth. Let the trust architecture drive retention. Build the rest based on what users ask for.</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OPTPal — Updated Roadmap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8C"/>
      <w:sz w:val="30"/>
      <w:szCs w:val="30"/>
    </w:rPr>
  </w:style>
  <w:style w:type="paragraph" w:styleId="Heading2">
    <w:name w:val="Heading 2"/>
    <w:basedOn w:val="Normal"/>
    <w:next w:val="Normal"/>
    <w:qFormat/>
    <w:pPr>
      <w:spacing w:after="160" w:before="300"/>
      <w:outlineLvl w:val="1"/>
    </w:pPr>
    <w:rPr>
      <w:rFonts w:ascii="Arial" w:cs="Arial" w:eastAsia="Arial" w:hAnsi="Arial"/>
      <w:b/>
      <w:bCs/>
      <w:color w:val="2E86C1"/>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2026-03-09T22:26:32.915Z</dcterms:created>
  <dcterms:modified xsi:type="dcterms:W3CDTF">2026-03-09T22:26:32.916Z</dcterms:modified>
</cp:coreProperties>
</file>

<file path=docProps/custom.xml><?xml version="1.0" encoding="utf-8"?>
<Properties xmlns="http://schemas.openxmlformats.org/officeDocument/2006/custom-properties" xmlns:vt="http://schemas.openxmlformats.org/officeDocument/2006/docPropsVTypes"/>
</file>