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
        <w:keepNext/>
        <w:keepLines/>
        <w:spacing w:before="360" w:beforeAutospacing="0" w:after="80" w:afterAutospacing="0"/>
        <w:rPr>
          <w:rFonts w:ascii="Arial" w:eastAsia="Times New Roman" w:cs="Arial" w:hAnsi="Arial"/>
          <w:b w:val="0"/>
          <w:bCs w:val="0"/>
          <w:color w:val="0F4761"/>
          <w:kern w:val="0"/>
          <w:sz w:val="40"/>
          <w:szCs w:val="40"/>
        </w:rPr>
      </w:pPr>
      <w:r>
        <w:rPr>
          <w:rFonts w:ascii="Arial" w:eastAsia="Times New Roman" w:cs="Arial" w:hAnsi="Arial"/>
          <w:b w:val="0"/>
          <w:bCs w:val="0"/>
          <w:color w:val="0F4761"/>
          <w:kern w:val="0"/>
          <w:sz w:val="40"/>
          <w:szCs w:val="40"/>
        </w:rPr>
        <w:t>Project: Summarizing and Analyzing Research Papers</w:t>
      </w:r>
    </w:p>
    <w:p>
      <w:pPr>
        <w:pStyle w:val="18"/>
        <w:rPr>
          <w:rFonts w:ascii="Arial" w:cs="Arial" w:hAnsi="Arial"/>
          <w:b/>
          <w:bCs/>
        </w:rPr>
      </w:pPr>
      <w:r>
        <w:rPr>
          <w:rStyle w:val="19"/>
          <w:rFonts w:ascii="Arial" w:cs="Arial" w:hAnsi="Arial"/>
        </w:rPr>
        <w:t>Learner Name</w:t>
      </w:r>
      <w:r>
        <w:rPr>
          <w:rFonts w:ascii="Arial" w:cs="Arial" w:hAnsi="Arial"/>
        </w:rPr>
        <w:t xml:space="preserve">: NAMASANI SURYATEJA </w:t>
      </w:r>
    </w:p>
    <w:p>
      <w:pPr>
        <w:pStyle w:val="18"/>
        <w:rPr>
          <w:rFonts w:ascii="Arial" w:cs="Arial" w:hAnsi="Arial"/>
        </w:rPr>
      </w:pPr>
      <w:r>
        <w:rPr>
          <w:rStyle w:val="19"/>
          <w:rFonts w:ascii="Arial" w:cs="Arial" w:hAnsi="Arial"/>
        </w:rPr>
        <w:t>Learner Email</w:t>
      </w:r>
      <w:r>
        <w:rPr>
          <w:rFonts w:ascii="Arial" w:cs="Arial" w:hAnsi="Arial"/>
        </w:rPr>
        <w:t>: teja64114@gmail.com</w:t>
      </w:r>
      <w:bookmarkStart w:id="0" w:name="_GoBack"/>
      <w:bookmarkEnd w:id="0"/>
    </w:p>
    <w:p>
      <w:pPr>
        <w:pStyle w:val="18"/>
        <w:rPr>
          <w:rFonts w:ascii="Arial" w:cs="Arial" w:hAnsi="Arial"/>
        </w:rPr>
      </w:pPr>
      <w:r>
        <w:rPr>
          <w:rStyle w:val="19"/>
          <w:rFonts w:ascii="Arial" w:cs="Arial" w:hAnsi="Arial"/>
        </w:rPr>
        <w:t>Topic</w:t>
      </w:r>
      <w:r>
        <w:rPr>
          <w:rFonts w:ascii="Arial" w:cs="Arial" w:hAnsi="Arial"/>
        </w:rPr>
        <w:t>: Agriculture Science</w:t>
      </w:r>
    </w:p>
    <w:p>
      <w:pPr>
        <w:pStyle w:val="18"/>
        <w:rPr>
          <w:rFonts w:ascii="Arial" w:cs="Arial" w:hAnsi="Arial"/>
        </w:rPr>
      </w:pPr>
      <w:r>
        <w:rPr>
          <w:rStyle w:val="19"/>
          <w:rFonts w:ascii="Arial" w:cs="Arial" w:hAnsi="Arial"/>
        </w:rPr>
        <w:t>Research Paper</w:t>
      </w:r>
      <w:r>
        <w:rPr>
          <w:rFonts w:ascii="Arial" w:cs="Arial" w:hAnsi="Arial"/>
        </w:rPr>
        <w:t xml:space="preserve">: </w:t>
      </w:r>
      <w:r>
        <w:rPr>
          <w:rStyle w:val="20"/>
          <w:rFonts w:ascii="Arial" w:cs="Arial" w:hAnsi="Arial"/>
        </w:rPr>
        <w:fldChar w:fldCharType="begin"/>
      </w:r>
      <w:r>
        <w:instrText>HYPERLINK "https://www.mdpi.com/2071-1050/15/7/5731"</w:instrText>
      </w:r>
      <w:r>
        <w:rPr>
          <w:rStyle w:val="20"/>
          <w:rFonts w:ascii="Arial" w:cs="Arial" w:hAnsi="Arial"/>
        </w:rPr>
        <w:fldChar w:fldCharType="separate"/>
      </w:r>
      <w:r>
        <w:rPr>
          <w:rStyle w:val="20"/>
          <w:rFonts w:ascii="Arial" w:cs="Arial" w:hAnsi="Arial"/>
        </w:rPr>
        <w:t>https://www.mdpi.com/2071-1050/15/7/5731</w:t>
      </w:r>
      <w:r>
        <w:rPr>
          <w:rStyle w:val="20"/>
          <w:rFonts w:ascii="Arial" w:cs="Arial" w:hAnsi="Arial"/>
        </w:rPr>
        <w:fldChar w:fldCharType="end"/>
      </w:r>
      <w:r>
        <w:rPr>
          <w:rFonts w:ascii="Arial" w:cs="Arial" w:hAnsi="Arial"/>
        </w:rPr>
        <w:t xml:space="preserve"> </w:t>
      </w:r>
    </w:p>
    <w:p>
      <w:pPr>
        <w:pStyle w:val="3"/>
        <w:rPr>
          <w:rFonts w:ascii="Arial" w:eastAsia="Times New Roman" w:cs="Arial" w:hAnsi="Arial"/>
        </w:rPr>
      </w:pPr>
      <w:r>
        <w:rPr>
          <w:rFonts w:ascii="Arial" w:eastAsia="Times New Roman" w:cs="Arial" w:hAnsi="Arial"/>
        </w:rPr>
        <w:t>Initial Prompt</w:t>
      </w:r>
    </w:p>
    <w:p>
      <w:pPr>
        <w:pStyle w:val="18"/>
        <w:rPr>
          <w:rFonts w:ascii="Arial" w:cs="Arial" w:hAnsi="Arial"/>
        </w:rPr>
      </w:pPr>
      <w:r>
        <w:rPr>
          <w:rStyle w:val="19"/>
          <w:rFonts w:ascii="Arial" w:cs="Arial" w:hAnsi="Arial"/>
        </w:rPr>
        <w:t>Description (50 words max)</w:t>
      </w:r>
      <w:r>
        <w:rPr>
          <w:rFonts w:ascii="Arial" w:cs="Arial" w:hAnsi="Arial"/>
        </w:rPr>
        <w:t>: This paper explores the potential of agroecology, regenerative agriculture, and sustainable intensification to address the challenges faced by smallholder farmers in Sub-Saharan Africa. It reviews these concepts, identifies best practices through case studies, and proposes outcome-oriented, context-specific approaches to enhance food security and resilience against climate risks.</w:t>
      </w:r>
    </w:p>
    <w:p>
      <w:pPr>
        <w:pStyle w:val="18"/>
        <w:rPr>
          <w:rFonts w:ascii="Arial" w:cs="Arial" w:hAnsi="Arial"/>
        </w:rPr>
      </w:pPr>
      <w:r>
        <w:rPr>
          <w:rStyle w:val="19"/>
          <w:rFonts w:ascii="Arial" w:cs="Arial" w:hAnsi="Arial"/>
        </w:rPr>
        <w:t>Generated Summary (100 words max)</w:t>
      </w:r>
      <w:r>
        <w:rPr>
          <w:rFonts w:ascii="Arial" w:cs="Arial" w:hAnsi="Arial"/>
        </w:rPr>
        <w:t>: This paper examines how agroecology, regenerative agriculture, and sustainable intensification can address the complex challenges faced by smallholder farmers in Sub-Saharan Africa, including food insecurity, environmental degradation, and climate change. By reviewing these agricultural concepts, the paper highlights their relevance to smallholder farming systems and identifies key lessons, best practices, and innovations from case studies. The goal is to introduce outcome-oriented, context-specific approaches that simultaneously address food security, environmental sustainability, and climate resilience. The paper calls for a re-examination of these approaches to better align them with the socio-economic realities and broader challenges in the region.</w:t>
      </w:r>
    </w:p>
    <w:p>
      <w:pPr>
        <w:pStyle w:val="3"/>
        <w:rPr>
          <w:rFonts w:ascii="Arial" w:eastAsia="Times New Roman" w:cs="Arial" w:hAnsi="Arial"/>
        </w:rPr>
      </w:pPr>
      <w:r>
        <w:rPr>
          <w:rFonts w:ascii="Arial" w:eastAsia="Times New Roman" w:cs="Arial" w:hAnsi="Arial"/>
        </w:rPr>
        <w:t>Iteration 1</w:t>
      </w:r>
    </w:p>
    <w:p>
      <w:pPr>
        <w:pStyle w:val="18"/>
        <w:rPr>
          <w:rFonts w:ascii="Arial" w:cs="Arial" w:hAnsi="Arial"/>
        </w:rPr>
      </w:pPr>
      <w:r>
        <w:rPr>
          <w:rStyle w:val="19"/>
          <w:rFonts w:ascii="Arial" w:cs="Arial" w:hAnsi="Arial"/>
        </w:rPr>
        <w:t>Description (50 words max)</w:t>
      </w:r>
      <w:r>
        <w:rPr>
          <w:rFonts w:ascii="Arial" w:cs="Arial" w:hAnsi="Arial"/>
        </w:rPr>
        <w:t>: This paper explores how agroecology, regenerative agriculture, and sustainable intensification can help smallholder farmers in Sub-Saharan Africa. It reviews these concepts, examines case studies to identify effective practices, and proposes outcome-oriented, context-specific approaches to address the intertwined challenges of climate risks, food insecurity, and environmental sustainability.</w:t>
      </w:r>
    </w:p>
    <w:p>
      <w:pPr>
        <w:pStyle w:val="18"/>
        <w:rPr>
          <w:rFonts w:ascii="Arial" w:cs="Arial" w:hAnsi="Arial"/>
        </w:rPr>
      </w:pPr>
      <w:r>
        <w:rPr>
          <w:rStyle w:val="19"/>
          <w:rFonts w:ascii="Arial" w:cs="Arial" w:hAnsi="Arial"/>
        </w:rPr>
        <w:t>Generated Summary (100 words max)</w:t>
      </w:r>
      <w:r>
        <w:rPr>
          <w:rFonts w:ascii="Arial" w:cs="Arial" w:hAnsi="Arial"/>
        </w:rPr>
        <w:t>: This paper explores the potential of agroecology, regenerative agriculture, and sustainable intensification to address the challenges faced by smallholder farmers in Sub-Saharan Africa, including food insecurity, environmental degradation, and climate change. It reviews these agricultural concepts, highlighting their relevance to smallholder farming systems and identifying key lessons and best practices through case studies. The paper emphasizes the need for outcome-oriented, context-specific approaches that address the complex challenges of climate risks and food insecurity. By re-examining these farming concepts, the paper aims to propose strategies that build resilient, sustainable, and responsive agricultural systems benefiting both people and the environment.</w:t>
      </w:r>
    </w:p>
    <w:p>
      <w:pPr>
        <w:pStyle w:val="18"/>
        <w:rPr>
          <w:rFonts w:ascii="Arial" w:eastAsia="Times New Roman" w:cs="Arial" w:hAnsi="Arial"/>
          <w:b/>
          <w:bCs/>
        </w:rPr>
      </w:pPr>
      <w:r>
        <w:rPr>
          <w:rFonts w:ascii="Arial" w:eastAsia="Times New Roman" w:cs="Arial" w:hAnsi="Arial"/>
          <w:b/>
          <w:bCs/>
        </w:rPr>
        <w:t>Iteration 2</w:t>
      </w:r>
    </w:p>
    <w:p>
      <w:pPr>
        <w:pStyle w:val="18"/>
        <w:rPr>
          <w:rFonts w:ascii="Arial" w:cs="Arial" w:hAnsi="Arial"/>
        </w:rPr>
      </w:pPr>
      <w:r>
        <w:rPr>
          <w:rStyle w:val="19"/>
          <w:rFonts w:ascii="Arial" w:cs="Arial" w:hAnsi="Arial"/>
        </w:rPr>
        <w:t>Description (50 words max)</w:t>
      </w:r>
      <w:r>
        <w:rPr>
          <w:rFonts w:ascii="Arial" w:cs="Arial" w:hAnsi="Arial"/>
        </w:rPr>
        <w:t>: This paper examines agroecology, regenerative agriculture, and sustainable intensification as solutions for smallholder farmers in Sub-Saharan Africa. It reviews these concepts, identifies effective practices through case studies, and proposes context-specific approaches to address food insecurity, environmental degradation, and climate risks, aiming to build resilient and sustainable agricultural systems.</w:t>
      </w:r>
    </w:p>
    <w:p>
      <w:pPr>
        <w:pStyle w:val="18"/>
        <w:rPr>
          <w:rFonts w:ascii="Arial" w:cs="Arial" w:hAnsi="Arial"/>
        </w:rPr>
      </w:pPr>
      <w:r>
        <w:rPr>
          <w:rStyle w:val="19"/>
          <w:rFonts w:ascii="Arial" w:cs="Arial" w:hAnsi="Arial"/>
        </w:rPr>
        <w:t>Generated Summary (100 words max)</w:t>
      </w:r>
      <w:r>
        <w:rPr>
          <w:rFonts w:ascii="Arial" w:cs="Arial" w:hAnsi="Arial"/>
        </w:rPr>
        <w:t>: Africa faces significant development challenges, including food insecurity, resource degradation, and climate change. Smallholder farming, crucial for global food production, is hindered by land degradation, low capital investment, and climate risks. Sustainable intensification (SI), agroecology, and regenerative agriculture are explored as solutions, each with unique principles and trade-offs. However, their adoption by small-scale farmers in Sub-Saharan Africa is limited. This paper examines these farming concepts, emphasizing the need for outcome-oriented, context-specific approaches to enhance crop productivity, reduce environmental degradation, and build resilient agricultural systems that address Africa's socio-economic and climate challenges.</w:t>
      </w:r>
    </w:p>
    <w:p>
      <w:pPr>
        <w:pStyle w:val="3"/>
        <w:rPr>
          <w:rFonts w:ascii="Arial" w:eastAsia="Times New Roman" w:cs="Arial" w:hAnsi="Arial"/>
        </w:rPr>
      </w:pPr>
      <w:r>
        <w:rPr>
          <w:rFonts w:ascii="Arial" w:eastAsia="Times New Roman" w:cs="Arial" w:hAnsi="Arial"/>
        </w:rPr>
        <w:t>Final Prompt</w:t>
      </w:r>
    </w:p>
    <w:p>
      <w:pPr>
        <w:pStyle w:val="18"/>
        <w:rPr>
          <w:rFonts w:ascii="Arial" w:cs="Arial" w:hAnsi="Arial"/>
        </w:rPr>
      </w:pPr>
      <w:r>
        <w:rPr>
          <w:rStyle w:val="19"/>
          <w:rFonts w:ascii="Arial" w:cs="Arial" w:hAnsi="Arial"/>
        </w:rPr>
        <w:t>Description (50 words max)</w:t>
      </w:r>
      <w:r>
        <w:rPr>
          <w:rFonts w:ascii="Arial" w:cs="Arial" w:hAnsi="Arial"/>
        </w:rPr>
        <w:t>: Africa faces challenges like food insecurity, resource degradation, and climate change, affecting smallholder farmers. This paper examines agroecology, regenerative agriculture, and sustainable intensification, assessing their potential to enhance crop productivity, reduce environmental degradation, and build resilient agricultural systems in Sub-Saharan Africa. It emphasizes outcome-oriented, context-specific approaches for sustainable development.</w:t>
      </w:r>
    </w:p>
    <w:p>
      <w:pPr>
        <w:pStyle w:val="18"/>
        <w:rPr>
          <w:rFonts w:ascii="Arial" w:eastAsia="Times New Roman" w:cs="Arial" w:hAnsi="Arial"/>
        </w:rPr>
      </w:pPr>
      <w:r>
        <w:rPr>
          <w:rStyle w:val="19"/>
          <w:rFonts w:ascii="Arial" w:cs="Arial" w:hAnsi="Arial"/>
        </w:rPr>
        <w:t>Generated Summary (100 words max)</w:t>
      </w:r>
      <w:r>
        <w:rPr>
          <w:rFonts w:ascii="Arial" w:cs="Arial" w:hAnsi="Arial"/>
        </w:rPr>
        <w:t>: Africa faces significant development challenges, including food insecurity, resource degradation, and climate change, affecting smallholder farmers. This paper explores three farming approaches—agroecology, regenerative agriculture, and sustainable intensification—evaluating their potential to enhance crop productivity, reduce environmental degradation, and build resilient agricultural systems in Sub-Saharan Africa. It addresses the constraints faced by small-scale farmers, such as low capital investment, fragmented land holdings, and climate risks. The paper aims to identify best practices and innovations that align with local contexts, balancing short-term food security needs with long-term environmental sustainability and resilience to climate change.</w:t>
      </w:r>
      <w:r>
        <w:rPr>
          <w:rFonts w:ascii="Arial" w:eastAsia="Times New Roman" w:cs="Arial" w:hAnsi="Arial"/>
        </w:rPr>
        <w:t>Insights and Applications</w:t>
      </w:r>
    </w:p>
    <w:p>
      <w:pPr>
        <w:pStyle w:val="18"/>
        <w:rPr>
          <w:rStyle w:val="19"/>
          <w:rFonts w:ascii="Arial" w:cs="Arial" w:hAnsi="Arial"/>
          <w:b w:val="0"/>
          <w:bCs w:val="0"/>
        </w:rPr>
      </w:pPr>
      <w:r>
        <w:rPr>
          <w:rStyle w:val="19"/>
          <w:rFonts w:ascii="Arial" w:cs="Arial" w:hAnsi="Arial"/>
        </w:rPr>
        <w:t>Key Insights (150 words max)</w:t>
      </w:r>
      <w:r>
        <w:rPr>
          <w:rFonts w:ascii="Arial" w:cs="Arial" w:hAnsi="Arial"/>
        </w:rPr>
        <w:t>: The research highlights that Africa's smallholder farming faces critical challenges, including food insecurity, resource degradation, and climate change, exacerbated by limited access to inputs and markets. Sustainable Intensification (SI) has been adopted in industrial systems but remains less prevalent in Africa due to these barriers. There's a growing shift towards nature-based solutions like agroecology and regenerative agriculture, which emphasize ecological processes and soil health, yet their adoption is slow due to varying definitions and implementation challenges. The paper underscores the need for context-specific, outcome-oriented approaches that balance immediate food security with long-term sustainability. It also calls for re-examining agricultural practices to better address Africa's unique environmental and socio-economic challenges. Overall, it advocates for a tailored strategy that aligns sustainable practices with the needs of smallholder farmers in Sub-Saharan Africa.</w:t>
      </w:r>
      <w:r>
        <w:rPr>
          <w:rStyle w:val="19"/>
          <w:rFonts w:ascii="Arial" w:cs="Arial" w:hAnsi="Arial"/>
          <w:b w:val="0"/>
          <w:bCs w:val="0"/>
        </w:rPr>
        <w:t xml:space="preserve"> </w:t>
      </w:r>
    </w:p>
    <w:p>
      <w:pPr>
        <w:pStyle w:val="18"/>
        <w:rPr>
          <w:rFonts w:ascii="Arial" w:eastAsia="Times New Roman" w:cs="Arial" w:hAnsi="Arial"/>
        </w:rPr>
      </w:pPr>
      <w:r>
        <w:rPr>
          <w:rStyle w:val="19"/>
          <w:rFonts w:ascii="Arial" w:cs="Arial" w:hAnsi="Arial"/>
        </w:rPr>
        <w:t>Potential Applications (150 words max)</w:t>
      </w:r>
      <w:r>
        <w:rPr>
          <w:rFonts w:ascii="Arial" w:cs="Arial" w:hAnsi="Arial"/>
        </w:rPr>
        <w:t xml:space="preserve">: The research findings have significant implications for policy-making, agricultural development, and climate resilience in Sub-Saharan Africa. By highlighting the challenges of smallholder farmers, the research suggests the need for policies that promote access to inputs, secure land tenure, and functional markets. The focus on sustainable intensification (SI), agroecology, and regenerative agriculture provides a roadmap for developing context-specific strategies that enhance productivity while preserving the environment. Development agencies and governments could apply these insights to design programs that support smallholder farmers in adopting sustainable practices, balancing short-term food security with long-term resilience. Additionally, the research could inform climate adaptation strategies, helping communities better manage risks associated with drought and other extreme events. Lastly, the findings advocate for multi-stakeholder collaboration to create a coherent regulatory framework that ensures the effective implementation of these nature-based solutions across diverse agricultural landscapes in Africa. </w:t>
      </w:r>
      <w:r>
        <w:rPr>
          <w:rFonts w:ascii="Arial" w:eastAsia="Times New Roman" w:cs="Arial" w:hAnsi="Arial"/>
        </w:rPr>
        <w:t>Evaluation</w:t>
      </w:r>
    </w:p>
    <w:p>
      <w:pPr>
        <w:pStyle w:val="18"/>
        <w:rPr>
          <w:rFonts w:ascii="Arial" w:cs="Arial" w:hAnsi="Arial"/>
        </w:rPr>
      </w:pPr>
      <w:r>
        <w:rPr>
          <w:rStyle w:val="19"/>
          <w:rFonts w:ascii="Arial" w:cs="Arial" w:hAnsi="Arial"/>
        </w:rPr>
        <w:t>Clarity (50 words max)</w:t>
      </w:r>
      <w:r>
        <w:rPr>
          <w:rFonts w:ascii="Arial" w:cs="Arial" w:hAnsi="Arial"/>
        </w:rPr>
        <w:t>: The final summary and insights are clear, concise, and effectively capture the research's key findings and implications. They provide a well-rounded overview, emphasizing the importance of context-specific strategies for smallholder farmers in Africa. However, slightly more detail could be added to distinguish between the different agricultural approaches discussed.</w:t>
      </w:r>
    </w:p>
    <w:p>
      <w:pPr>
        <w:pStyle w:val="18"/>
        <w:rPr>
          <w:rStyle w:val="19"/>
          <w:rFonts w:ascii="Arial" w:cs="Arial" w:hAnsi="Arial"/>
          <w:b w:val="0"/>
          <w:bCs w:val="0"/>
        </w:rPr>
      </w:pPr>
      <w:r>
        <w:rPr>
          <w:rStyle w:val="19"/>
          <w:rFonts w:ascii="Arial" w:cs="Arial" w:hAnsi="Arial"/>
        </w:rPr>
        <w:t>Accuracy (50 words max)</w:t>
      </w:r>
      <w:r>
        <w:rPr>
          <w:rFonts w:ascii="Arial" w:cs="Arial" w:hAnsi="Arial"/>
        </w:rPr>
        <w:t>: The final summary and insights are accurate, reflecting the core themes of the research, including the challenges faced by smallholder farmers and the potential of sustainable practices. It correctly identifies the need for policy support, context-specific strategies, and stakeholder collaboration, aligning well with the original content of the research paper.</w:t>
      </w:r>
      <w:r>
        <w:rPr>
          <w:rStyle w:val="19"/>
          <w:rFonts w:ascii="Arial" w:cs="Arial" w:hAnsi="Arial"/>
          <w:b w:val="0"/>
          <w:bCs w:val="0"/>
        </w:rPr>
        <w:t xml:space="preserve"> </w:t>
      </w:r>
    </w:p>
    <w:p>
      <w:pPr>
        <w:pStyle w:val="18"/>
        <w:rPr>
          <w:rFonts w:ascii="Arial" w:cs="Arial" w:hAnsi="Arial"/>
        </w:rPr>
      </w:pPr>
      <w:r>
        <w:rPr>
          <w:rStyle w:val="19"/>
          <w:rFonts w:ascii="Arial" w:cs="Arial" w:hAnsi="Arial"/>
        </w:rPr>
        <w:t>Relevance (50 words max)</w:t>
      </w:r>
      <w:r>
        <w:rPr>
          <w:rFonts w:ascii="Arial" w:cs="Arial" w:hAnsi="Arial"/>
        </w:rPr>
        <w:t>: The insights are highly relevant as they address the urgent need for tailored, context-specific strategies that reconcile immediate food security with long-term sustainability. By highlighting the barriers to adopting sustainable practices and advocating for approaches suited to local conditions, the paper provides a practical framework for improving smallholder resilience in Sub-Saharan Africa.</w:t>
      </w:r>
    </w:p>
    <w:p>
      <w:pPr>
        <w:pStyle w:val="3"/>
        <w:rPr>
          <w:rFonts w:ascii="Arial" w:eastAsia="Times New Roman" w:cs="Arial" w:hAnsi="Arial"/>
        </w:rPr>
      </w:pPr>
      <w:r>
        <w:rPr>
          <w:rFonts w:ascii="Arial" w:eastAsia="Times New Roman" w:cs="Arial" w:hAnsi="Arial"/>
        </w:rPr>
        <w:t>Reflection</w:t>
      </w:r>
    </w:p>
    <w:p>
      <w:pPr>
        <w:pStyle w:val="18"/>
        <w:ind w:left="300" w:right="300"/>
        <w:rPr>
          <w:rFonts w:ascii="Arial" w:cs="Arial" w:hAnsi="Arial"/>
        </w:rPr>
      </w:pPr>
      <w:r>
        <w:rPr>
          <w:rStyle w:val="19"/>
          <w:rFonts w:ascii="Arial" w:cs="Arial" w:hAnsi="Arial"/>
        </w:rPr>
        <w:t>(250 words max)</w:t>
      </w:r>
      <w:r>
        <w:rPr>
          <w:rFonts w:ascii="Arial" w:cs="Arial" w:hAnsi="Arial"/>
        </w:rPr>
        <w:t>: Throughout this learning experience, I explored the intricate challenges and opportunities in advancing sustainable agriculture within Sub-Saharan Africa. One significant takeaway was understanding the multifaceted nature of agricultural systems in the region, which face unique obstacles such as food insecurity, resource degradation, and the impacts of climate change. I found it particularly challenging to navigate the varying definitions and implementations of sustainable farming approaches like agroecology, regenerative agriculture, and sustainable intensification. Each concept offers valuable principles, yet their diverse interpretations and practical applications complicate their adoption in smallholder farming systems.</w:t>
      </w:r>
    </w:p>
    <w:p>
      <w:pPr>
        <w:pStyle w:val="18"/>
        <w:ind w:left="300" w:right="300"/>
        <w:rPr>
          <w:rFonts w:ascii="Arial" w:cs="Arial" w:hAnsi="Arial"/>
        </w:rPr>
      </w:pPr>
    </w:p>
    <w:p>
      <w:pPr>
        <w:pStyle w:val="18"/>
        <w:ind w:left="300" w:right="300"/>
        <w:rPr>
          <w:rFonts w:ascii="Arial" w:cs="Arial" w:hAnsi="Arial"/>
        </w:rPr>
      </w:pPr>
      <w:r>
        <w:rPr>
          <w:rFonts w:ascii="Arial" w:cs="Arial" w:hAnsi="Arial"/>
        </w:rPr>
        <w:t>The primary challenge was reconciling the need for immediate improvements in food security with the goal of achieving long-term environmental sustainability. This balancing act requires not only an understanding of the specific barriers faced by smallholder farmers—such as limited access to inputs and markets—but also an appreciation for the ecological and socio-economic context in which these farmers operate.</w:t>
      </w:r>
    </w:p>
    <w:p>
      <w:pPr>
        <w:pStyle w:val="18"/>
        <w:ind w:left="300" w:right="300"/>
        <w:rPr>
          <w:rFonts w:ascii="Arial" w:cs="Arial" w:hAnsi="Arial"/>
        </w:rPr>
      </w:pPr>
    </w:p>
    <w:p>
      <w:pPr>
        <w:pStyle w:val="18"/>
        <w:ind w:left="300" w:right="300"/>
        <w:rPr>
          <w:rFonts w:ascii="Arial" w:cs="Arial" w:hAnsi="Arial"/>
        </w:rPr>
      </w:pPr>
      <w:r>
        <w:rPr>
          <w:rFonts w:ascii="Arial" w:cs="Arial" w:hAnsi="Arial"/>
        </w:rPr>
        <w:t>One crucial insight gained was the importance of context-specific solutions. Effective strategies must account for local conditions, resource availability, and the unique challenges faced by smallholder farmers. Generic solutions often fall short due to the complexity of local issues. This experience highlighted the need for a tailored approach that integrates local knowledge and considers both immediate needs and long-term goals.</w:t>
      </w:r>
    </w:p>
    <w:p>
      <w:pPr>
        <w:pStyle w:val="18"/>
        <w:ind w:left="300" w:right="300"/>
        <w:rPr>
          <w:rFonts w:ascii="Arial" w:cs="Arial" w:hAnsi="Arial"/>
        </w:rPr>
      </w:pPr>
    </w:p>
    <w:p>
      <w:pPr>
        <w:pStyle w:val="18"/>
        <w:rPr>
          <w:rFonts w:ascii="Arial" w:cs="Arial" w:hAnsi="Arial"/>
        </w:rPr>
      </w:pPr>
      <w:r>
        <w:rPr>
          <w:rFonts w:ascii="Arial" w:cs="Arial" w:hAnsi="Arial"/>
        </w:rPr>
        <w:t>Overall, the reflection underscores that achieving sustainable agricultural development in Sub-Saharan Africa requires a nuanced understanding of both ecological principles and local realities. Customized, adaptable strategies are essential for making meaningful progress in addressing the region's agricultural and environmental challenges.</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等线">
    <w:altName w:val="Droid Sans"/>
    <w:panose1 w:val="00000000000000000000"/>
    <w:charset w:val="00"/>
    <w:family w:val="auto"/>
    <w:pitch w:val="variable"/>
    <w:sig w:usb0="00000000" w:usb1="00000000" w:usb2="00000000" w:usb3="00000000" w:csb0="00000000" w:csb1="00000000"/>
  </w:font>
  <w:font w:name="Courier New">
    <w:panose1 w:val="02070309020205020404"/>
    <w:charset w:val="00"/>
    <w:family w:val="modern"/>
    <w:pitch w:val="variable"/>
    <w:sig w:usb0="E0002EFF" w:usb1="C0007843" w:usb2="00000009" w:usb3="00000000" w:csb0="0000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20"/>
  <w:drawingGridVerticalSpacing w:val="163"/>
  <w:displayHorizontalDrawingGridEvery w:val="0"/>
  <w:displayVerticalDrawingGridEvery w:val="1"/>
  <w:noPunctuationKerning/>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rPr>
      <w:rFonts w:ascii="Times New Roman" w:eastAsia="等线" w:cs="Times New Roman" w:hAnsi="Times New Roman"/>
      <w:sz w:val="24"/>
      <w:szCs w:val="24"/>
      <w:lang w:val="en-IN" w:eastAsia="en-GB" w:bidi="ar-SA"/>
    </w:rPr>
  </w:style>
  <w:style w:type="paragraph" w:styleId="1">
    <w:name w:val="heading 1"/>
    <w:basedOn w:val="0"/>
    <w:pPr>
      <w:spacing w:before="100" w:beforeAutospacing="1" w:after="100" w:afterAutospacing="1"/>
      <w:outlineLvl w:val="0"/>
    </w:pPr>
    <w:rPr>
      <w:b/>
      <w:bCs/>
      <w:color w:val="333333"/>
      <w:kern w:val="36"/>
      <w:sz w:val="48"/>
      <w:szCs w:val="48"/>
    </w:rPr>
  </w:style>
  <w:style w:type="paragraph" w:styleId="2">
    <w:name w:val="heading 2"/>
    <w:basedOn w:val="0"/>
    <w:pPr>
      <w:spacing w:before="100" w:beforeAutospacing="1" w:after="100" w:afterAutospacing="1"/>
      <w:outlineLvl w:val="1"/>
    </w:pPr>
    <w:rPr>
      <w:b/>
      <w:bCs/>
      <w:color w:val="333333"/>
      <w:sz w:val="36"/>
      <w:szCs w:val="36"/>
    </w:rPr>
  </w:style>
  <w:style w:type="paragraph" w:styleId="3">
    <w:name w:val="heading 3"/>
    <w:basedOn w:val="0"/>
    <w:pPr>
      <w:spacing w:before="100" w:beforeAutospacing="1" w:after="100" w:afterAutospacing="1"/>
      <w:outlineLvl w:val="2"/>
    </w:pPr>
    <w:rPr>
      <w:b/>
      <w:bCs/>
      <w:color w:val="333333"/>
      <w:sz w:val="27"/>
      <w:szCs w:val="27"/>
    </w:rPr>
  </w:style>
  <w:style w:type="paragraph" w:styleId="4">
    <w:name w:val="heading 4"/>
    <w:basedOn w:val="0"/>
    <w:pPr>
      <w:spacing w:before="100" w:beforeAutospacing="1" w:after="100" w:afterAutospacing="1"/>
      <w:outlineLvl w:val="3"/>
    </w:pPr>
    <w:rPr>
      <w:b/>
      <w:bCs/>
      <w:color w:val="333333"/>
    </w:rPr>
  </w:style>
  <w:style w:type="paragraph" w:styleId="5">
    <w:name w:val="heading 5"/>
    <w:basedOn w:val="0"/>
    <w:pPr>
      <w:spacing w:before="100" w:beforeAutospacing="1" w:after="100" w:afterAutospacing="1"/>
      <w:outlineLvl w:val="4"/>
    </w:pPr>
    <w:rPr>
      <w:b/>
      <w:bCs/>
      <w:color w:val="333333"/>
      <w:sz w:val="20"/>
      <w:szCs w:val="20"/>
    </w:rPr>
  </w:style>
  <w:style w:type="paragraph" w:styleId="6">
    <w:name w:val="heading 6"/>
    <w:basedOn w:val="0"/>
    <w:pPr>
      <w:spacing w:before="100" w:beforeAutospacing="1" w:after="100" w:afterAutospacing="1"/>
      <w:outlineLvl w:val="5"/>
    </w:pPr>
    <w:rPr>
      <w:b/>
      <w:bCs/>
      <w:color w:val="333333"/>
      <w:sz w:val="15"/>
      <w:szCs w:val="15"/>
    </w:rPr>
  </w:style>
  <w:style w:type="character" w:default="1" w:styleId="10">
    <w:name w:val="Default Paragraph Font"/>
  </w:style>
  <w:style w:type="paragraph" w:customStyle="1" w:styleId="15">
    <w:name w:val="msonormal"/>
    <w:basedOn w:val="0"/>
    <w:pPr>
      <w:spacing w:before="100" w:beforeAutospacing="1" w:after="100" w:afterAutospacing="1"/>
    </w:pPr>
  </w:style>
  <w:style w:type="paragraph" w:customStyle="1" w:styleId="16">
    <w:name w:val="container"/>
    <w:basedOn w:val="0"/>
    <w:pPr>
      <w:spacing w:before="100" w:beforeAutospacing="1" w:after="100" w:afterAutospacing="1"/>
    </w:pPr>
  </w:style>
  <w:style w:type="paragraph" w:customStyle="1" w:styleId="17">
    <w:name w:val="section"/>
    <w:basedOn w:val="0"/>
    <w:pPr>
      <w:spacing w:before="100" w:beforeAutospacing="1" w:after="300"/>
    </w:pPr>
  </w:style>
  <w:style w:type="paragraph" w:styleId="18">
    <w:name w:val="Normal (Web)"/>
    <w:basedOn w:val="0"/>
    <w:pPr>
      <w:spacing w:before="100" w:beforeAutospacing="1" w:after="100" w:afterAutospacing="1"/>
    </w:pPr>
  </w:style>
  <w:style w:type="character" w:styleId="19">
    <w:name w:val="Strong"/>
    <w:basedOn w:val="10"/>
    <w:rPr>
      <w:b/>
      <w:bCs/>
    </w:rPr>
  </w:style>
  <w:style w:type="character" w:styleId="20">
    <w:name w:val="Hyperlink"/>
    <w:basedOn w:val="10"/>
    <w:rPr>
      <w:color w:val="0000FF"/>
      <w:u w:val="single"/>
    </w:rPr>
  </w:style>
  <w:style w:type="character" w:styleId="21">
    <w:name w:val="FollowedHyperlink"/>
    <w:basedOn w:val="10"/>
    <w:rPr>
      <w:color w:val="800080"/>
      <w:u w:val="single"/>
    </w:rPr>
  </w:style>
  <w:style w:type="character" w:styleId="22">
    <w:name w:val="HTML Code"/>
    <w:basedOn w:val="10"/>
    <w:rPr>
      <w:rFonts w:ascii="Courier New" w:eastAsia="等线" w:cs="Courier New" w:hAnsi="Courier New"/>
      <w:sz w:val="20"/>
      <w:szCs w:val="20"/>
    </w:rPr>
  </w:style>
  <w:style w:type="character" w:customStyle="1" w:styleId="23">
    <w:name w:val="Unresolved Mention"/>
    <w:basedOn w:val="10"/>
    <w:rPr>
      <w:color w:val="605E5C"/>
      <w:shd w:val="clear" w:color="auto" w:fill="E1DFDD"/>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47</TotalTime>
  <Application>Yozo_Office</Application>
  <Pages>5</Pages>
  <Words>1328</Words>
  <Characters>9290</Characters>
  <Lines>148</Lines>
  <Paragraphs>27</Paragraphs>
  <CharactersWithSpaces>10591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Summarizing and Analyzing Research Papers Project</dc:title>
  <dc:creator>Vikas Gupta</dc:creator>
  <cp:lastModifiedBy>vivo user</cp:lastModifiedBy>
  <cp:revision>4</cp:revision>
  <dcterms:created xsi:type="dcterms:W3CDTF">2024-08-11T10:13:00Z</dcterms:created>
  <dcterms:modified xsi:type="dcterms:W3CDTF">2024-09-02T14:35:05Z</dcterms:modified>
</cp:coreProperties>
</file>