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第七部分  补充设计和说明</w:t>
      </w:r>
    </w:p>
    <w:p>
      <w:pPr>
        <w:pStyle w:val="Heading2"/>
      </w:pPr>
      <w:r>
        <w:t>一、编译运行环境设计</w:t>
      </w:r>
    </w:p>
    <w:p>
      <w:pPr>
        <w:pStyle w:val="Heading3"/>
      </w:pPr>
      <w:r>
        <w:t>1. 前端运行环境设计</w:t>
      </w:r>
    </w:p>
    <w:p>
      <w:pPr>
        <w:pStyle w:val="ListBullet"/>
      </w:pPr>
      <w:r>
        <w:rPr>
          <w:sz w:val="21"/>
        </w:rPr>
        <w:t>Vue 3.0+ — 渐进式前端框架</w:t>
      </w:r>
    </w:p>
    <w:p>
      <w:pPr>
        <w:pStyle w:val="ListBullet"/>
      </w:pPr>
      <w:r>
        <w:rPr>
          <w:sz w:val="21"/>
        </w:rPr>
        <w:t>Vite 6.0+ — 前端构建工具</w:t>
      </w:r>
    </w:p>
    <w:p>
      <w:pPr>
        <w:pStyle w:val="ListBullet"/>
      </w:pPr>
      <w:r>
        <w:rPr>
          <w:sz w:val="21"/>
        </w:rPr>
        <w:t>Node.js 18+ — JavaScript 运行时</w:t>
      </w:r>
    </w:p>
    <w:p>
      <w:pPr>
        <w:pStyle w:val="ListBullet"/>
      </w:pPr>
      <w:r>
        <w:rPr>
          <w:sz w:val="21"/>
        </w:rPr>
        <w:t>UnoCSS — 原子化 CSS 引擎</w:t>
      </w:r>
    </w:p>
    <w:p>
      <w:pPr>
        <w:pStyle w:val="ListBullet"/>
      </w:pPr>
      <w:r>
        <w:rPr>
          <w:sz w:val="21"/>
        </w:rPr>
        <w:t>TypeScript — 类型约束</w:t>
      </w:r>
    </w:p>
    <w:p>
      <w:pPr>
        <w:pStyle w:val="Heading3"/>
      </w:pPr>
      <w:r>
        <w:t>2. 后端运行环境设计</w:t>
      </w:r>
    </w:p>
    <w:p>
      <w:pPr>
        <w:pStyle w:val="ListBullet"/>
      </w:pPr>
      <w:r>
        <w:rPr>
          <w:sz w:val="21"/>
        </w:rPr>
        <w:t>Spring Boot 2.1.2.RELEASE — Java Web 应用框架</w:t>
      </w:r>
    </w:p>
    <w:p>
      <w:pPr>
        <w:pStyle w:val="ListBullet"/>
      </w:pPr>
      <w:r>
        <w:rPr>
          <w:sz w:val="21"/>
        </w:rPr>
        <w:t>JDK 17+ — Java 运行时</w:t>
      </w:r>
    </w:p>
    <w:p>
      <w:pPr>
        <w:pStyle w:val="ListBullet"/>
      </w:pPr>
      <w:r>
        <w:rPr>
          <w:sz w:val="21"/>
        </w:rPr>
        <w:t>MySQL 8.0+ — 关系型数据库（utf8mb4）</w:t>
      </w:r>
    </w:p>
    <w:p>
      <w:pPr>
        <w:pStyle w:val="ListBullet"/>
      </w:pPr>
      <w:r>
        <w:rPr>
          <w:sz w:val="21"/>
        </w:rPr>
        <w:t>Elasticsearch 8.x — 全文检索与向量搜索</w:t>
      </w:r>
    </w:p>
    <w:p>
      <w:pPr>
        <w:pStyle w:val="ListBullet"/>
      </w:pPr>
      <w:r>
        <w:rPr>
          <w:sz w:val="21"/>
        </w:rPr>
        <w:t>Redis 7.x — 缓存 / 会话 / 配额计数</w:t>
      </w:r>
    </w:p>
    <w:p>
      <w:pPr>
        <w:pStyle w:val="ListBullet"/>
      </w:pPr>
      <w:r>
        <w:rPr>
          <w:sz w:val="21"/>
        </w:rPr>
        <w:t>MinIO — 对象存储（文件分片与合并）</w:t>
      </w:r>
    </w:p>
    <w:p>
      <w:pPr>
        <w:pStyle w:val="ListBullet"/>
      </w:pPr>
      <w:r>
        <w:rPr>
          <w:sz w:val="21"/>
        </w:rPr>
        <w:t>Kafka — 消息队列（异步文件处理任务）</w:t>
      </w:r>
    </w:p>
    <w:p>
      <w:pPr>
        <w:pStyle w:val="ListBullet"/>
      </w:pPr>
      <w:r>
        <w:rPr>
          <w:sz w:val="21"/>
        </w:rPr>
        <w:t>Maven 3.8+ — 项目构建与依赖管理</w:t>
      </w:r>
    </w:p>
    <w:p>
      <w:pPr>
        <w:pStyle w:val="Heading2"/>
      </w:pPr>
      <w:r>
        <w:t>二、包路径与目录结构设计</w:t>
      </w:r>
    </w:p>
    <w:p>
      <w:pPr>
        <w:pStyle w:val="Heading3"/>
      </w:pPr>
      <w:r>
        <w:t>1. 前端目录结构设计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46320" cy="849669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ontend_tre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84966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图 7-1  前端目录结构</w:t>
      </w:r>
    </w:p>
    <w:p>
      <w:pPr>
        <w:pStyle w:val="Heading3"/>
      </w:pPr>
      <w:r>
        <w:t>2. 后端目录结构设计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46320" cy="468998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ckend_tre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46899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图 7-2  后端目录结构</w:t>
      </w:r>
    </w:p>
    <w:p>
      <w:pPr>
        <w:pStyle w:val="Heading3"/>
      </w:pPr>
      <w:r>
        <w:t>3. 后端核心包说明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t>包名</w:t>
            </w:r>
          </w:p>
        </w:tc>
        <w:tc>
          <w:tcPr>
            <w:tcW w:type="dxa" w:w="4536"/>
          </w:tcPr>
          <w:p>
            <w:r>
              <w:t>说明</w:t>
            </w:r>
          </w:p>
        </w:tc>
      </w:tr>
      <w:tr>
        <w:tc>
          <w:tcPr>
            <w:tcW w:type="dxa" w:w="4536"/>
          </w:tcPr>
          <w:p>
            <w:r>
              <w:rPr>
                <w:sz w:val="19"/>
              </w:rPr>
              <w:t>client</w:t>
            </w:r>
          </w:p>
        </w:tc>
        <w:tc>
          <w:tcPr>
            <w:tcW w:type="dxa" w:w="4536"/>
          </w:tcPr>
          <w:p>
            <w:r>
              <w:rPr>
                <w:sz w:val="19"/>
              </w:rPr>
              <w:t>外部 API 客户端封装（ES / DeepSeek / MinIO / Embedding）</w:t>
            </w:r>
          </w:p>
        </w:tc>
      </w:tr>
      <w:tr>
        <w:tc>
          <w:tcPr>
            <w:tcW w:type="dxa" w:w="4536"/>
          </w:tcPr>
          <w:p>
            <w:r>
              <w:rPr>
                <w:sz w:val="19"/>
              </w:rPr>
              <w:t>config</w:t>
            </w:r>
          </w:p>
        </w:tc>
        <w:tc>
          <w:tcPr>
            <w:tcW w:type="dxa" w:w="4536"/>
          </w:tcPr>
          <w:p>
            <w:r>
              <w:rPr>
                <w:sz w:val="19"/>
              </w:rPr>
              <w:t>Spring 配置类（Kafka、MinIO、CORS、Security、Redis 等）</w:t>
            </w:r>
          </w:p>
        </w:tc>
      </w:tr>
      <w:tr>
        <w:tc>
          <w:tcPr>
            <w:tcW w:type="dxa" w:w="4536"/>
          </w:tcPr>
          <w:p>
            <w:r>
              <w:rPr>
                <w:sz w:val="19"/>
              </w:rPr>
              <w:t>consumer</w:t>
            </w:r>
          </w:p>
        </w:tc>
        <w:tc>
          <w:tcPr>
            <w:tcW w:type="dxa" w:w="4536"/>
          </w:tcPr>
          <w:p>
            <w:r>
              <w:rPr>
                <w:sz w:val="19"/>
              </w:rPr>
              <w:t>Kafka 消息消费者，处理异步文件解析与向量化任务</w:t>
            </w:r>
          </w:p>
        </w:tc>
      </w:tr>
      <w:tr>
        <w:tc>
          <w:tcPr>
            <w:tcW w:type="dxa" w:w="4536"/>
          </w:tcPr>
          <w:p>
            <w:r>
              <w:rPr>
                <w:sz w:val="19"/>
              </w:rPr>
              <w:t>controller</w:t>
            </w:r>
          </w:p>
        </w:tc>
        <w:tc>
          <w:tcPr>
            <w:tcW w:type="dxa" w:w="4536"/>
          </w:tcPr>
          <w:p>
            <w:r>
              <w:rPr>
                <w:sz w:val="19"/>
              </w:rPr>
              <w:t>REST 控制器层，共 11 个 Controller，对外暴露 API</w:t>
            </w:r>
          </w:p>
        </w:tc>
      </w:tr>
      <w:tr>
        <w:tc>
          <w:tcPr>
            <w:tcW w:type="dxa" w:w="4536"/>
          </w:tcPr>
          <w:p>
            <w:r>
              <w:rPr>
                <w:sz w:val="19"/>
              </w:rPr>
              <w:t>entity</w:t>
            </w:r>
          </w:p>
        </w:tc>
        <w:tc>
          <w:tcPr>
            <w:tcW w:type="dxa" w:w="4536"/>
          </w:tcPr>
          <w:p>
            <w:r>
              <w:rPr>
                <w:sz w:val="19"/>
              </w:rPr>
              <w:t>Elasticsearch 文档映射实体（EsDocument）</w:t>
            </w:r>
          </w:p>
        </w:tc>
      </w:tr>
      <w:tr>
        <w:tc>
          <w:tcPr>
            <w:tcW w:type="dxa" w:w="4536"/>
          </w:tcPr>
          <w:p>
            <w:r>
              <w:rPr>
                <w:sz w:val="19"/>
              </w:rPr>
              <w:t>exception</w:t>
            </w:r>
          </w:p>
        </w:tc>
        <w:tc>
          <w:tcPr>
            <w:tcW w:type="dxa" w:w="4536"/>
          </w:tcPr>
          <w:p>
            <w:r>
              <w:rPr>
                <w:sz w:val="19"/>
              </w:rPr>
              <w:t>自定义异常类（CustomException、RateLimitExceededException）</w:t>
            </w:r>
          </w:p>
        </w:tc>
      </w:tr>
      <w:tr>
        <w:tc>
          <w:tcPr>
            <w:tcW w:type="dxa" w:w="4536"/>
          </w:tcPr>
          <w:p>
            <w:r>
              <w:rPr>
                <w:sz w:val="19"/>
              </w:rPr>
              <w:t>handler</w:t>
            </w:r>
          </w:p>
        </w:tc>
        <w:tc>
          <w:tcPr>
            <w:tcW w:type="dxa" w:w="4536"/>
          </w:tcPr>
          <w:p>
            <w:r>
              <w:rPr>
                <w:sz w:val="19"/>
              </w:rPr>
              <w:t>WebSocket 连接处理器（ChatWebSocketHandler）</w:t>
            </w:r>
          </w:p>
        </w:tc>
      </w:tr>
      <w:tr>
        <w:tc>
          <w:tcPr>
            <w:tcW w:type="dxa" w:w="4536"/>
          </w:tcPr>
          <w:p>
            <w:r>
              <w:rPr>
                <w:sz w:val="19"/>
              </w:rPr>
              <w:t>model</w:t>
            </w:r>
          </w:p>
        </w:tc>
        <w:tc>
          <w:tcPr>
            <w:tcW w:type="dxa" w:w="4536"/>
          </w:tcPr>
          <w:p>
            <w:r>
              <w:rPr>
                <w:sz w:val="19"/>
              </w:rPr>
              <w:t>JPA 实体与 DTO 对象，与数据库表一一映射</w:t>
            </w:r>
          </w:p>
        </w:tc>
      </w:tr>
      <w:tr>
        <w:tc>
          <w:tcPr>
            <w:tcW w:type="dxa" w:w="4536"/>
          </w:tcPr>
          <w:p>
            <w:r>
              <w:rPr>
                <w:sz w:val="19"/>
              </w:rPr>
              <w:t>repository</w:t>
            </w:r>
          </w:p>
        </w:tc>
        <w:tc>
          <w:tcPr>
            <w:tcW w:type="dxa" w:w="4536"/>
          </w:tcPr>
          <w:p>
            <w:r>
              <w:rPr>
                <w:sz w:val="19"/>
              </w:rPr>
              <w:t>Spring Data JPA 数据访问接口，共 11 个 Repository</w:t>
            </w:r>
          </w:p>
        </w:tc>
      </w:tr>
      <w:tr>
        <w:tc>
          <w:tcPr>
            <w:tcW w:type="dxa" w:w="4536"/>
          </w:tcPr>
          <w:p>
            <w:r>
              <w:rPr>
                <w:sz w:val="19"/>
              </w:rPr>
              <w:t>service</w:t>
            </w:r>
          </w:p>
        </w:tc>
        <w:tc>
          <w:tcPr>
            <w:tcW w:type="dxa" w:w="4536"/>
          </w:tcPr>
          <w:p>
            <w:r>
              <w:rPr>
                <w:sz w:val="19"/>
              </w:rPr>
              <w:t>业务逻辑层，共 27 个 Service，承载核心业务</w:t>
            </w:r>
          </w:p>
        </w:tc>
      </w:tr>
      <w:tr>
        <w:tc>
          <w:tcPr>
            <w:tcW w:type="dxa" w:w="4536"/>
          </w:tcPr>
          <w:p>
            <w:r>
              <w:rPr>
                <w:sz w:val="19"/>
              </w:rPr>
              <w:t>test</w:t>
            </w:r>
          </w:p>
        </w:tc>
        <w:tc>
          <w:tcPr>
            <w:tcW w:type="dxa" w:w="4536"/>
          </w:tcPr>
          <w:p>
            <w:r>
              <w:rPr>
                <w:sz w:val="19"/>
              </w:rPr>
              <w:t>单元测试与集成测试</w:t>
            </w:r>
          </w:p>
        </w:tc>
      </w:tr>
      <w:tr>
        <w:tc>
          <w:tcPr>
            <w:tcW w:type="dxa" w:w="4536"/>
          </w:tcPr>
          <w:p>
            <w:r>
              <w:rPr>
                <w:sz w:val="19"/>
              </w:rPr>
              <w:t>utils</w:t>
            </w:r>
          </w:p>
        </w:tc>
        <w:tc>
          <w:tcPr>
            <w:tcW w:type="dxa" w:w="4536"/>
          </w:tcPr>
          <w:p>
            <w:r>
              <w:rPr>
                <w:sz w:val="19"/>
              </w:rPr>
              <w:t>通用工具类（JWT 签发校验、日志、密码加密）</w:t>
            </w:r>
          </w:p>
        </w:tc>
      </w:tr>
    </w:tbl>
    <w:sectPr w:rsidR="00FC693F" w:rsidRPr="0006063C" w:rsidSect="00034616">
      <w:pgSz w:w="11906" w:h="16838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