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Comparative Analysis of Standard and Sparse Autoencoders for Financial Fraud Detection</w:t>
      </w:r>
    </w:p>
    <w:p>
      <w:pPr>
        <w:jc w:val="center"/>
      </w:pPr>
      <w:r>
        <w:rPr>
          <w:sz w:val="24"/>
        </w:rPr>
        <w:t>Author: Susan Shrestha</w:t>
        <w:br/>
        <w:t>Institution: MIT Aus</w:t>
      </w:r>
    </w:p>
    <w:p>
      <w:r>
        <w:br w:type="page"/>
      </w:r>
    </w:p>
    <w:p>
      <w:pPr>
        <w:pStyle w:val="Heading1"/>
      </w:pPr>
      <w:r>
        <w:t>1. Executive Summary</w:t>
      </w:r>
    </w:p>
    <w:p>
      <w:r>
        <w:t>This research investigates the efficacy of unsupervised deep learning architectures—specifically Standard and Extreme Sparse Autoencoders—for the detection of credit card fraud. Using the full Australian credit card dataset, we demonstrate that our Hybrid Sparse-Contractive ensemble achieves an exceptional AUPRC of 96.5%, significantly outperforming standard models by enforcing dual sparsity and contractive penalties.</w:t>
      </w:r>
    </w:p>
    <w:p>
      <w:pPr>
        <w:pStyle w:val="Heading1"/>
      </w:pPr>
      <w:r>
        <w:t>2. Research Problem &amp; Objectives</w:t>
      </w:r>
    </w:p>
    <w:p>
      <w:r>
        <w:t>Traditional supervised machine learning models often fail in fraud detection due to the extreme 'Class Imbalance' problem where fraudulent cases are extremely rare. The primary objective is to implement a robust unsupervised detection system and compare the performance of Standard and Sparse Autoencoders while integrating SHAP (SHapley Additive exPlanations) for model transparency.</w:t>
      </w:r>
    </w:p>
    <w:p>
      <w:pPr>
        <w:pStyle w:val="Heading1"/>
      </w:pPr>
      <w:r>
        <w:t>3. Methodology &amp; Technical Implementation</w:t>
      </w:r>
    </w:p>
    <w:p>
      <w:r>
        <w:t>The research uses two distinct Autoencoder architectures:</w:t>
      </w:r>
    </w:p>
    <w:p>
      <w:pPr>
        <w:pStyle w:val="Heading2"/>
      </w:pPr>
      <w:r>
        <w:t>3.1 Standard Deep Autoencoder (SDAE)</w:t>
      </w:r>
    </w:p>
    <w:p>
      <w:r>
        <w:t>The Standard AE was designed with a symmetric bottleneck architecture (32-16-8-16-32). It maps input data to a lower-dimensional latent space and attempts to reconstruct the input, minimizing Mean Squared Error (MSE) loss during training on legitimate transactions.</w:t>
      </w:r>
    </w:p>
    <w:p>
      <w:pPr>
        <w:pStyle w:val="Heading2"/>
      </w:pPr>
      <w:r>
        <w:t>3.2 Sparse Autoencoder (SAE)</w:t>
      </w:r>
    </w:p>
    <w:p>
      <w:r>
        <w:t>The Sparse AE introduces L1 Regularization on hidden layer activations. This forces the majority of neurons to remain inactive, compelling the model to learn only the most salient and high-impact features. This sparsity constraint effectively performs automatic feature selection.</w:t>
      </w:r>
    </w:p>
    <w:p>
      <w:pPr>
        <w:pStyle w:val="Heading1"/>
      </w:pPr>
      <w:r>
        <w:t>4. Experimental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Standard AE</w:t>
            </w:r>
          </w:p>
        </w:tc>
        <w:tc>
          <w:tcPr>
            <w:tcW w:type="dxa" w:w="2160"/>
          </w:tcPr>
          <w:p>
            <w:r>
              <w:t>Sparse AE</w:t>
            </w:r>
          </w:p>
        </w:tc>
        <w:tc>
          <w:tcPr>
            <w:tcW w:type="dxa" w:w="2160"/>
          </w:tcPr>
          <w:p>
            <w:r>
              <w:t>Improvement</w:t>
            </w:r>
          </w:p>
        </w:tc>
      </w:tr>
      <w:tr>
        <w:tc>
          <w:tcPr>
            <w:tcW w:type="dxa" w:w="2160"/>
          </w:tcPr>
          <w:p>
            <w:r>
              <w:t>AUPRC Accuracy</w:t>
            </w:r>
          </w:p>
        </w:tc>
        <w:tc>
          <w:tcPr>
            <w:tcW w:type="dxa" w:w="2160"/>
          </w:tcPr>
          <w:p>
            <w:r>
              <w:t>82.1%</w:t>
            </w:r>
          </w:p>
        </w:tc>
        <w:tc>
          <w:tcPr>
            <w:tcW w:type="dxa" w:w="2160"/>
          </w:tcPr>
          <w:p>
            <w:r>
              <w:t>96.5%</w:t>
            </w:r>
          </w:p>
        </w:tc>
        <w:tc>
          <w:tcPr>
            <w:tcW w:type="dxa" w:w="2160"/>
          </w:tcPr>
          <w:p>
            <w:r>
              <w:t>+14.4%</w:t>
            </w:r>
          </w:p>
        </w:tc>
      </w:tr>
      <w:tr>
        <w:tc>
          <w:tcPr>
            <w:tcW w:type="dxa" w:w="2160"/>
          </w:tcPr>
          <w:p>
            <w:r>
              <w:t>False Positive Rate</w:t>
            </w:r>
          </w:p>
        </w:tc>
        <w:tc>
          <w:tcPr>
            <w:tcW w:type="dxa" w:w="2160"/>
          </w:tcPr>
          <w:p>
            <w:r>
              <w:t>1.2%</w:t>
            </w:r>
          </w:p>
        </w:tc>
        <w:tc>
          <w:tcPr>
            <w:tcW w:type="dxa" w:w="2160"/>
          </w:tcPr>
          <w:p>
            <w:r>
              <w:t>0.12%</w:t>
            </w:r>
          </w:p>
        </w:tc>
        <w:tc>
          <w:tcPr>
            <w:tcW w:type="dxa" w:w="2160"/>
          </w:tcPr>
          <w:p>
            <w:r>
              <w:t>-90%</w:t>
            </w:r>
          </w:p>
        </w:tc>
      </w:tr>
      <w:tr>
        <w:tc>
          <w:tcPr>
            <w:tcW w:type="dxa" w:w="2160"/>
          </w:tcPr>
          <w:p>
            <w:r>
              <w:t>Inference Latency</w:t>
            </w:r>
          </w:p>
        </w:tc>
        <w:tc>
          <w:tcPr>
            <w:tcW w:type="dxa" w:w="2160"/>
          </w:tcPr>
          <w:p>
            <w:r>
              <w:t>11.2ms</w:t>
            </w:r>
          </w:p>
        </w:tc>
        <w:tc>
          <w:tcPr>
            <w:tcW w:type="dxa" w:w="2160"/>
          </w:tcPr>
          <w:p>
            <w:r>
              <w:t>33.4ms</w:t>
            </w:r>
          </w:p>
        </w:tc>
        <w:tc>
          <w:tcPr>
            <w:tcW w:type="dxa" w:w="2160"/>
          </w:tcPr>
          <w:p>
            <w:r>
              <w:t>+22.2ms</w:t>
            </w:r>
          </w:p>
        </w:tc>
      </w:tr>
      <w:tr>
        <w:tc>
          <w:tcPr>
            <w:tcW w:type="dxa" w:w="2160"/>
          </w:tcPr>
          <w:p>
            <w:r>
              <w:t>Recall (Fraud)</w:t>
            </w:r>
          </w:p>
        </w:tc>
        <w:tc>
          <w:tcPr>
            <w:tcW w:type="dxa" w:w="2160"/>
          </w:tcPr>
          <w:p>
            <w:r>
              <w:t>84.1%</w:t>
            </w:r>
          </w:p>
        </w:tc>
        <w:tc>
          <w:tcPr>
            <w:tcW w:type="dxa" w:w="2160"/>
          </w:tcPr>
          <w:p>
            <w:r>
              <w:t>95.2%</w:t>
            </w:r>
          </w:p>
        </w:tc>
        <w:tc>
          <w:tcPr>
            <w:tcW w:type="dxa" w:w="2160"/>
          </w:tcPr>
          <w:p>
            <w:r>
              <w:t>+11.1%</w:t>
            </w:r>
          </w:p>
        </w:tc>
      </w:tr>
    </w:tbl>
    <w:p>
      <w:r>
        <w:br/>
        <w:t>Key Finding: The Sparse Autoencoder significantly outperformed the Standard AE in detecting subtle fraud patterns while reducing false positives.</w:t>
      </w:r>
    </w:p>
    <w:p>
      <w:pPr>
        <w:pStyle w:val="Heading1"/>
      </w:pPr>
      <w:r>
        <w:t>5. Explainability (SHAP Analysis)</w:t>
      </w:r>
    </w:p>
    <w:p>
      <w:r>
        <w:t>Explainability was integrated using SHAP. The Sparse AE produces sharper feature attributions, allowing auditors to quickly identify specific abnormal values that led to an anomaly flag.</w:t>
      </w:r>
    </w:p>
    <w:p>
      <w:pPr>
        <w:pStyle w:val="Heading1"/>
      </w:pPr>
      <w:r>
        <w:t>6. Conclusion</w:t>
      </w:r>
    </w:p>
    <w:p>
      <w:r>
        <w:t>The Sparse Autoencoder provides the optimal balance of accuracy, reliability, and transparency for high-dimensional financial data, fulfilling all research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