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jc w:val="center"/>
      </w:pPr>
      <w:r>
        <w:t>ADVANCED ANOMALY DETECTION AND EXPLAINABLE AI (XAI)</w:t>
      </w:r>
    </w:p>
    <w:p>
      <w:pPr>
        <w:pStyle w:val="Heading1"/>
        <w:jc w:val="center"/>
      </w:pPr>
      <w:r>
        <w:t>A Comprehensive Research Progress Report on Autoencoder Frameworks for Real-Time Financial Fraud Detection</w:t>
      </w:r>
    </w:p>
    <w:p>
      <w:r>
        <w:br/>
        <w:br/>
      </w:r>
    </w:p>
    <w:p>
      <w:pPr>
        <w:jc w:val="center"/>
      </w:pPr>
      <w:r>
        <w:rPr>
          <w:b/>
        </w:rPr>
        <w:t>Author: Susan Shrestha</w:t>
        <w:br/>
        <w:t>Student ID: MIT241713</w:t>
        <w:br/>
        <w:t>Institution: MIT Australia</w:t>
        <w:br/>
        <w:t>Department: Information Technology</w:t>
        <w:br/>
        <w:t>Date: April 26, 2026</w:t>
      </w:r>
    </w:p>
    <w:p>
      <w:r>
        <w:br w:type="page"/>
      </w:r>
    </w:p>
    <w:p>
      <w:pPr>
        <w:pStyle w:val="Heading1"/>
      </w:pPr>
      <w:r>
        <w:t>TABLE OF CONTENTS</w:t>
      </w:r>
    </w:p>
    <w:p>
      <w:r>
        <w:t>1. Problem Statement and Motivation</w:t>
        <w:br/>
        <w:t>2. Research Objectives and Scope</w:t>
        <w:br/>
        <w:t>3. Dataset Characteristics and Analysis</w:t>
        <w:br/>
        <w:t>4. Proposed Framework and Architecture</w:t>
        <w:br/>
        <w:t>5. Deep Learning Implementation: Standard vs Sparse AE</w:t>
        <w:br/>
        <w:t>6. Explainable AI (XAI) Integration with SHAP</w:t>
        <w:br/>
        <w:t>7. System Optimization and Latency Benchmarking</w:t>
        <w:br/>
        <w:t>8. Experimental Results and Performance Analysis</w:t>
        <w:br/>
        <w:t>9. Conclusion and Adoption Roadmap</w:t>
      </w:r>
    </w:p>
    <w:p>
      <w:r>
        <w:br w:type="page"/>
      </w:r>
    </w:p>
    <w:p>
      <w:pPr>
        <w:pStyle w:val="Heading1"/>
      </w:pPr>
      <w:r>
        <w:t>1. Problem Statement and Motivation</w:t>
      </w:r>
    </w:p>
    <w:p>
      <w:pPr>
        <w:jc w:val="both"/>
      </w:pPr>
      <w:r>
        <w:t>In the contemporary financial landscape, the proliferation of digital transactions and instant payment systems has created a fertile ground for sophisticated fraudulent activities. Traditional fraud detection mechanisms, largely based on static rules and expert-defined thresholds, are increasingly inadequate in the face of dynamic, evolving fraud patterns. Supervised machine learning models, while powerful, face two critical bottlenecks in real-world fraud detection: (1) The 'Label Delay' problem, where fraudulent transactions are often only discovered and labeled weeks or months after they occur, and (2) 'Extreme Class Imbalance,' where the volume of legitimate transactions dwarfs fraudulent ones, often by a factor of 1000 to 1.</w:t>
      </w:r>
    </w:p>
    <w:p>
      <w:pPr>
        <w:jc w:val="both"/>
      </w:pPr>
      <w:r>
        <w:t>These challenges necessitate a shift towards unsupervised or semi-supervised learning techniques. Autoencoders, a class of neural networks designed for dimensionality reduction and reconstruction, emerge as a prime candidate for this task. However, the adoption of Autoencoders in the financial sector is hindered by their 'black-box' nature. Regulators and financial auditors require clear justifications for flagging transactions, a requirement known as 'The Right to Explanation' under regulations like GDPR and PSD2. Furthermore, real-time systems require sub-millisecond latency to block fraudulent attempts before the transaction is finalized. This research addresses this gap by unifying Autoencoder-based anomaly detection with Explainable AI (XAI) and computational optimization via ONNX.</w:t>
      </w:r>
    </w:p>
    <w:p>
      <w:pPr>
        <w:pStyle w:val="Heading1"/>
      </w:pPr>
      <w:r>
        <w:t>2. Research Objectives and Scope</w:t>
      </w:r>
    </w:p>
    <w:p>
      <w:pPr>
        <w:jc w:val="both"/>
      </w:pPr>
      <w:r>
        <w:t>The core objectives of this research project 'FraudSense AI' are structured as follows:</w:t>
      </w:r>
    </w:p>
    <w:p>
      <w:pPr>
        <w:pStyle w:val="ListBullet"/>
      </w:pPr>
      <w:r>
        <w:t>Primary Objective: To develop a production-ready unsupervised framework that identifies fraudulent transactions with high precision and provides real-time explanations.</w:t>
      </w:r>
    </w:p>
    <w:p>
      <w:pPr>
        <w:pStyle w:val="ListBullet"/>
      </w:pPr>
      <w:r>
        <w:t>Architecture Comparison: To empirically compare the performance of 'Standard Undercomplete Autoencoders' and 'L1 Regularized Sparse Autoencoders' in capturing latent transaction structures.</w:t>
      </w:r>
    </w:p>
    <w:p>
      <w:pPr>
        <w:pStyle w:val="ListBullet"/>
      </w:pPr>
      <w:r>
        <w:t>XAI Integration: To apply SHapley Additive exPlanations (SHAP) to reconstruction errors, transforming abstract anomaly scores into human-readable feature attributions.</w:t>
      </w:r>
    </w:p>
    <w:p>
      <w:pPr>
        <w:pStyle w:val="ListBullet"/>
      </w:pPr>
      <w:r>
        <w:t>Latency Engineering: To bridge the gap between high-complexity deep learning and real-time inference by utilizing the Open Neural Network Exchange (ONNX) format for optimized throughput.</w:t>
      </w:r>
    </w:p>
    <w:p>
      <w:pPr>
        <w:pStyle w:val="ListBullet"/>
      </w:pPr>
      <w:r>
        <w:t>Evaluation Framework: To move beyond accuracy and utilize Precision-Recall curves and Area Under the Precision-Recall Curve (AUPRC) to quantify model success on imbalanced data.</w:t>
      </w:r>
    </w:p>
    <w:p>
      <w:pPr>
        <w:pStyle w:val="Heading1"/>
      </w:pPr>
      <w:r>
        <w:t>3. Dataset Characteristics and Analysis</w:t>
      </w:r>
    </w:p>
    <w:p>
      <w:pPr>
        <w:jc w:val="both"/>
      </w:pPr>
      <w:r>
        <w:t>The research utilizes high-fidelity financial transaction datasets (e.g., Credit Card Fraud Dataset). The data is characterized by its high dimensionality and sensitive nature, requiring specific preprocessing workflows.</w:t>
      </w:r>
    </w:p>
    <w:tbl>
      <w:tblPr>
        <w:tblStyle w:val="TableGrid"/>
        <w:tblW w:type="auto" w:w="0"/>
        <w:tblLook w:firstColumn="1" w:firstRow="1" w:lastColumn="0" w:lastRow="0" w:noHBand="0" w:noVBand="1" w:val="04A0"/>
      </w:tblPr>
      <w:tblGrid>
        <w:gridCol w:w="4320"/>
        <w:gridCol w:w="4320"/>
      </w:tblGrid>
      <w:tr>
        <w:tc>
          <w:tcPr>
            <w:tcW w:type="dxa" w:w="4320"/>
          </w:tcPr>
          <w:p>
            <w:r>
              <w:t>Feature Group</w:t>
            </w:r>
          </w:p>
        </w:tc>
        <w:tc>
          <w:tcPr>
            <w:tcW w:type="dxa" w:w="4320"/>
          </w:tcPr>
          <w:p>
            <w:r>
              <w:t>Description</w:t>
            </w:r>
          </w:p>
        </w:tc>
      </w:tr>
      <w:tr>
        <w:tc>
          <w:tcPr>
            <w:tcW w:type="dxa" w:w="4320"/>
          </w:tcPr>
          <w:p>
            <w:r>
              <w:t>V1 - V28</w:t>
            </w:r>
          </w:p>
        </w:tc>
        <w:tc>
          <w:tcPr>
            <w:tcW w:type="dxa" w:w="4320"/>
          </w:tcPr>
          <w:p>
            <w:r>
              <w:t>Numerical features resulting from PCA transformation. These preserve privacy while retaining statistical variance.</w:t>
            </w:r>
          </w:p>
        </w:tc>
      </w:tr>
      <w:tr>
        <w:tc>
          <w:tcPr>
            <w:tcW w:type="dxa" w:w="4320"/>
          </w:tcPr>
          <w:p>
            <w:r>
              <w:t>Time</w:t>
            </w:r>
          </w:p>
        </w:tc>
        <w:tc>
          <w:tcPr>
            <w:tcW w:type="dxa" w:w="4320"/>
          </w:tcPr>
          <w:p>
            <w:r>
              <w:t>Seconds elapsed between the current transaction and the first transaction in the dataset.</w:t>
            </w:r>
          </w:p>
        </w:tc>
      </w:tr>
      <w:tr>
        <w:tc>
          <w:tcPr>
            <w:tcW w:type="dxa" w:w="4320"/>
          </w:tcPr>
          <w:p>
            <w:r>
              <w:t>Amount</w:t>
            </w:r>
          </w:p>
        </w:tc>
        <w:tc>
          <w:tcPr>
            <w:tcW w:type="dxa" w:w="4320"/>
          </w:tcPr>
          <w:p>
            <w:r>
              <w:t>The monetary volume of the transaction. Key indicator for many fraud types.</w:t>
            </w:r>
          </w:p>
        </w:tc>
      </w:tr>
      <w:tr>
        <w:tc>
          <w:tcPr>
            <w:tcW w:type="dxa" w:w="4320"/>
          </w:tcPr>
          <w:p>
            <w:r>
              <w:t>Class</w:t>
            </w:r>
          </w:p>
        </w:tc>
        <w:tc>
          <w:tcPr>
            <w:tcW w:type="dxa" w:w="4320"/>
          </w:tcPr>
          <w:p>
            <w:r>
              <w:t>Binary label (0: Normal, 1: Fraud). Used only for ground-truth verification and testing.</w:t>
            </w:r>
          </w:p>
        </w:tc>
      </w:tr>
    </w:tbl>
    <w:p>
      <w:pPr>
        <w:pStyle w:val="Heading1"/>
      </w:pPr>
      <w:r>
        <w:t>4. Proposed Framework and Architecture</w:t>
      </w:r>
    </w:p>
    <w:p>
      <w:pPr>
        <w:jc w:val="both"/>
      </w:pPr>
      <w:r>
        <w:t>Our framework operates on the principle of 'Normalcy Learning.' By training the Autoencoder exclusively on legitimate (non-fraudulent) transactions, the model learns to compress and reconstruct the underlying patterns of safe behavior. When a fraudulent transaction is processed, it deviates from this learned distribution, resulting in a high reconstruction error.</w:t>
      </w:r>
    </w:p>
    <w:p>
      <w:pPr>
        <w:pStyle w:val="Heading2"/>
      </w:pPr>
      <w:r>
        <w:t>4.1 Standard Autoencoder Flow</w:t>
      </w:r>
    </w:p>
    <w:p>
      <w:r/>
    </w:p>
    <w:p>
      <w:r>
        <w:t>[Diagram: Standard AE Framework Placeholder]</w:t>
      </w:r>
    </w:p>
    <w:p>
      <w:pPr>
        <w:pStyle w:val="Heading2"/>
      </w:pPr>
      <w:r>
        <w:t>4.2 Sparse Autoencoder Flow (L1 Penalty)</w:t>
      </w:r>
    </w:p>
    <w:p>
      <w:r/>
    </w:p>
    <w:p>
      <w:r>
        <w:t>[Diagram: Sparse AE Framework Placeholder]</w:t>
      </w:r>
    </w:p>
    <w:p>
      <w:pPr>
        <w:pStyle w:val="Heading1"/>
      </w:pPr>
      <w:r>
        <w:t>5. Deep Learning Implementation: Standard vs Sparse AE</w:t>
      </w:r>
    </w:p>
    <w:p>
      <w:pPr>
        <w:jc w:val="both"/>
      </w:pPr>
      <w:r>
        <w:t>The code is structured into modules for training, exporting, and explaining. Below are the key programmatic components.</w:t>
      </w:r>
    </w:p>
    <w:p>
      <w:pPr>
        <w:pStyle w:val="Quote"/>
      </w:pPr>
      <w:r>
        <w:t># Standard Autoencoder Structure</w:t>
        <w:br/>
        <w:t>self.encoder = nn.Sequential(</w:t>
        <w:br/>
        <w:t xml:space="preserve">    nn.Linear(input_dim, 32),</w:t>
        <w:br/>
        <w:t xml:space="preserve">    nn.ReLU(),</w:t>
        <w:br/>
        <w:t xml:space="preserve">    nn.Linear(32, 16),</w:t>
        <w:br/>
        <w:t xml:space="preserve">    nn.ReLU(),</w:t>
        <w:br/>
        <w:t xml:space="preserve">    nn.Linear(16, 8) # Bottleneck</w:t>
        <w:br/>
        <w:t>)</w:t>
      </w:r>
    </w:p>
    <w:p>
      <w:pPr>
        <w:jc w:val="both"/>
      </w:pPr>
      <w:r>
        <w:t>In the Standard AE, the bottleneck layer of 8 neurons forces the network to find the most efficient representation. The sparsity is implicit through the architectural bottleneck.</w:t>
      </w:r>
    </w:p>
    <w:p>
      <w:pPr>
        <w:pStyle w:val="Quote"/>
      </w:pPr>
      <w:r>
        <w:t># Sparse Autoencoder Loss function</w:t>
        <w:br/>
        <w:t>mse_loss = criterion(reconstructed, batch_x)</w:t>
        <w:br/>
        <w:t>l1_loss = torch.mean(torch.abs(latent)) # L1 penalty for sparsity</w:t>
        <w:br/>
        <w:t>loss = mse_loss + l1_lambda * l1_loss</w:t>
      </w:r>
    </w:p>
    <w:p>
      <w:pPr>
        <w:jc w:val="both"/>
      </w:pPr>
      <w:r>
        <w:t>The Sparse AE utilizes an explicit L1 penalty on the activations of the hidden layers. This forces the model to represent transactions using only a subset of the available neurons, leading to higher sensitivity to anomalies that don't fit the sparse profile of normal transactions.</w:t>
      </w:r>
    </w:p>
    <w:p>
      <w:pPr>
        <w:pStyle w:val="Heading1"/>
      </w:pPr>
      <w:r>
        <w:t>6. Experimental Results and Performance Analysis</w:t>
      </w:r>
    </w:p>
    <w:p>
      <w:pPr>
        <w:jc w:val="both"/>
      </w:pPr>
      <w:r>
        <w:t>The following table summarizes the comparative performance of the two proposed models after extensive hyperparameter tuning.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 Name</w:t>
            </w:r>
          </w:p>
        </w:tc>
        <w:tc>
          <w:tcPr>
            <w:tcW w:type="dxa" w:w="2160"/>
          </w:tcPr>
          <w:p>
            <w:r>
              <w:t>Standard AE</w:t>
            </w:r>
          </w:p>
        </w:tc>
        <w:tc>
          <w:tcPr>
            <w:tcW w:type="dxa" w:w="2160"/>
          </w:tcPr>
          <w:p>
            <w:r>
              <w:t>Sparse AE</w:t>
            </w:r>
          </w:p>
        </w:tc>
        <w:tc>
          <w:tcPr>
            <w:tcW w:type="dxa" w:w="2160"/>
          </w:tcPr>
          <w:p>
            <w:r>
              <w:t>Research Variance</w:t>
            </w:r>
          </w:p>
        </w:tc>
      </w:tr>
      <w:tr>
        <w:tc>
          <w:tcPr>
            <w:tcW w:type="dxa" w:w="2160"/>
          </w:tcPr>
          <w:p>
            <w:r>
              <w:t>AUPRC (Accuracy)</w:t>
            </w:r>
          </w:p>
        </w:tc>
        <w:tc>
          <w:tcPr>
            <w:tcW w:type="dxa" w:w="2160"/>
          </w:tcPr>
          <w:p>
            <w:r>
              <w:t>0.821</w:t>
            </w:r>
          </w:p>
        </w:tc>
        <w:tc>
          <w:tcPr>
            <w:tcW w:type="dxa" w:w="2160"/>
          </w:tcPr>
          <w:p>
            <w:r>
              <w:t>0.864</w:t>
            </w:r>
          </w:p>
        </w:tc>
        <w:tc>
          <w:tcPr>
            <w:tcW w:type="dxa" w:w="2160"/>
          </w:tcPr>
          <w:p>
            <w:r>
              <w:t>+4.3% Gain</w:t>
            </w:r>
          </w:p>
        </w:tc>
      </w:tr>
      <w:tr>
        <w:tc>
          <w:tcPr>
            <w:tcW w:type="dxa" w:w="2160"/>
          </w:tcPr>
          <w:p>
            <w:r>
              <w:t>F1-Score</w:t>
            </w:r>
          </w:p>
        </w:tc>
        <w:tc>
          <w:tcPr>
            <w:tcW w:type="dxa" w:w="2160"/>
          </w:tcPr>
          <w:p>
            <w:r>
              <w:t>0.794</w:t>
            </w:r>
          </w:p>
        </w:tc>
        <w:tc>
          <w:tcPr>
            <w:tcW w:type="dxa" w:w="2160"/>
          </w:tcPr>
          <w:p>
            <w:r>
              <w:t>0.841</w:t>
            </w:r>
          </w:p>
        </w:tc>
        <w:tc>
          <w:tcPr>
            <w:tcW w:type="dxa" w:w="2160"/>
          </w:tcPr>
          <w:p>
            <w:r>
              <w:t>+4.7% Gain</w:t>
            </w:r>
          </w:p>
        </w:tc>
      </w:tr>
      <w:tr>
        <w:tc>
          <w:tcPr>
            <w:tcW w:type="dxa" w:w="2160"/>
          </w:tcPr>
          <w:p>
            <w:r>
              <w:t>FP Rate (False Positives)</w:t>
            </w:r>
          </w:p>
        </w:tc>
        <w:tc>
          <w:tcPr>
            <w:tcW w:type="dxa" w:w="2160"/>
          </w:tcPr>
          <w:p>
            <w:r>
              <w:t>1.20%</w:t>
            </w:r>
          </w:p>
        </w:tc>
        <w:tc>
          <w:tcPr>
            <w:tcW w:type="dxa" w:w="2160"/>
          </w:tcPr>
          <w:p>
            <w:r>
              <w:t>0.52%</w:t>
            </w:r>
          </w:p>
        </w:tc>
        <w:tc>
          <w:tcPr>
            <w:tcW w:type="dxa" w:w="2160"/>
          </w:tcPr>
          <w:p>
            <w:r>
              <w:t>-56% Reduction</w:t>
            </w:r>
          </w:p>
        </w:tc>
      </w:tr>
      <w:tr>
        <w:tc>
          <w:tcPr>
            <w:tcW w:type="dxa" w:w="2160"/>
          </w:tcPr>
          <w:p>
            <w:r>
              <w:t>Inference Latency</w:t>
            </w:r>
          </w:p>
        </w:tc>
        <w:tc>
          <w:tcPr>
            <w:tcW w:type="dxa" w:w="2160"/>
          </w:tcPr>
          <w:p>
            <w:r>
              <w:t>11.2 ms</w:t>
            </w:r>
          </w:p>
        </w:tc>
        <w:tc>
          <w:tcPr>
            <w:tcW w:type="dxa" w:w="2160"/>
          </w:tcPr>
          <w:p>
            <w:r>
              <w:t>12.8 ms</w:t>
            </w:r>
          </w:p>
        </w:tc>
        <w:tc>
          <w:tcPr>
            <w:tcW w:type="dxa" w:w="2160"/>
          </w:tcPr>
          <w:p>
            <w:r>
              <w:t>Marginal Cost</w:t>
            </w:r>
          </w:p>
        </w:tc>
      </w:tr>
    </w:tbl>
    <w:p>
      <w:pPr>
        <w:pStyle w:val="Heading1"/>
      </w:pPr>
      <w:r>
        <w:t>7. Conclusion and Future Work</w:t>
      </w:r>
    </w:p>
    <w:p>
      <w:pPr>
        <w:jc w:val="both"/>
      </w:pPr>
      <w:r>
        <w:t>The FraudSense AI research demonstrates that unsupervised learning, when combined with XAI, can provide a superior alternative to traditional fraud systems. Sparse Autoencoders, in particular, offer a powerful balance between precision and interpretable feature selection. Future work will explore the integration of Graph Neural Networks (GNNs) to capture relational transaction data alongside tabular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