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While previous computational studies have examined CaMKII temporal dynamics or multimeric structure, few integrate these aspects with NMDAR-specific interactions. Incorporating spatial, temporal, and multimeric dimensions is important because they shape CaMKII activation patterns, which influence synaptic plasticity</w:t>
      </w:r>
      <w:r>
        <w:t xml:space="preserve"> </w:t>
      </w:r>
      <w:r>
        <w:t xml:space="preserve">(</w:t>
      </w:r>
      <w:hyperlink w:anchor="ref-ohno2002Pharmacogenetic">
        <w:r>
          <w:rPr>
            <w:rStyle w:val="Hyperlink"/>
          </w:rPr>
          <w:t xml:space="preserve">Ohno, Frankland, and Silva 2002</w:t>
        </w:r>
      </w:hyperlink>
      <w:r>
        <w:t xml:space="preserve">;</w:t>
      </w:r>
      <w:r>
        <w:t xml:space="preserve"> </w:t>
      </w:r>
      <w:hyperlink w:anchor="ref-yasuda2017Biophysics">
        <w:r>
          <w:rPr>
            <w:rStyle w:val="Hyperlink"/>
          </w:rPr>
          <w:t xml:space="preserve">Yasuda 2017</w:t>
        </w:r>
      </w:hyperlink>
      <w:r>
        <w:t xml:space="preserve">)</w:t>
      </w:r>
      <w:r>
        <w:t xml:space="preserve">. Building on the CaMKII/NMDAR models described in</w:t>
      </w:r>
      <w:r>
        <w:t xml:space="preserve"> </w:t>
      </w:r>
      <w:hyperlink w:anchor="sec-model-description">
        <w:r>
          <w:rPr>
            <w:rStyle w:val="Hyperlink"/>
          </w:rPr>
          <w:t xml:space="preserve">Chapter 5</w:t>
        </w:r>
      </w:hyperlink>
      <w:r>
        <w:t xml:space="preserve">, this chapter explores the emergent behaviors of CaMKII and NMDARs arising from the models’ dynamics.</w:t>
      </w:r>
    </w:p>
    <w:p>
      <w:pPr>
        <w:pStyle w:val="BodyText"/>
      </w:pPr>
      <w:r>
        <w:t xml:space="preserve">Here, three model variants are considered: the wild-type (WT) model, and two mutants (MT) in which either T286 phosphorylation or NMDAR binding is abolished.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2025-11-06T20:18:44Z</dcterms:created>
  <dcterms:modified xsi:type="dcterms:W3CDTF">2025-11-06T20:18:44Z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