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AE858" w14:textId="5DC796B0" w:rsidR="000B3A13" w:rsidRPr="000B3A13" w:rsidRDefault="000B3A13" w:rsidP="000B3A13">
      <w:r w:rsidRPr="000B3A13">
        <w:t>El manual define los procesos administrativos y operativos para gestionar la incorporación,</w:t>
      </w:r>
      <w:r>
        <w:t xml:space="preserve"> </w:t>
      </w:r>
      <w:r w:rsidRPr="000B3A13">
        <w:t>seguimiento y apoyo económico a ex prestadores de servicio social educativo que desean continuar sus estudios mediante el Sistema de Estudios a Docentes (SED). Incluye normas generales, específicas, y procedimientos detallados para la incorporación de beneficiarios, manejo de apoyos adicionales, y gestión de documentos.</w:t>
      </w:r>
    </w:p>
    <w:p w14:paraId="5E7059F9" w14:textId="77777777" w:rsidR="000B3A13" w:rsidRPr="000B3A13" w:rsidRDefault="000B3A13" w:rsidP="000B3A13">
      <w:pPr>
        <w:rPr>
          <w:b/>
          <w:bCs/>
        </w:rPr>
      </w:pPr>
      <w:r w:rsidRPr="000B3A13">
        <w:rPr>
          <w:b/>
          <w:bCs/>
        </w:rPr>
        <w:t>Puntos más relevantes por sección:</w:t>
      </w:r>
    </w:p>
    <w:p w14:paraId="173895C7" w14:textId="77777777" w:rsidR="000B3A13" w:rsidRPr="000B3A13" w:rsidRDefault="000B3A13" w:rsidP="000B3A13">
      <w:pPr>
        <w:numPr>
          <w:ilvl w:val="0"/>
          <w:numId w:val="1"/>
        </w:numPr>
      </w:pPr>
      <w:r w:rsidRPr="000B3A13">
        <w:rPr>
          <w:b/>
          <w:bCs/>
        </w:rPr>
        <w:t>Introducción</w:t>
      </w:r>
      <w:r w:rsidRPr="000B3A13">
        <w:t xml:space="preserve"> (pág. 4-6)</w:t>
      </w:r>
    </w:p>
    <w:p w14:paraId="70D6B17B" w14:textId="77777777" w:rsidR="000B3A13" w:rsidRPr="000B3A13" w:rsidRDefault="000B3A13" w:rsidP="000B3A13">
      <w:pPr>
        <w:numPr>
          <w:ilvl w:val="1"/>
          <w:numId w:val="2"/>
        </w:numPr>
      </w:pPr>
      <w:r w:rsidRPr="000B3A13">
        <w:t>Historia y evolución del SED desde 1976.</w:t>
      </w:r>
    </w:p>
    <w:p w14:paraId="7763B2BE" w14:textId="77777777" w:rsidR="000B3A13" w:rsidRPr="000B3A13" w:rsidRDefault="000B3A13" w:rsidP="000B3A13">
      <w:pPr>
        <w:numPr>
          <w:ilvl w:val="1"/>
          <w:numId w:val="2"/>
        </w:numPr>
      </w:pPr>
      <w:r w:rsidRPr="000B3A13">
        <w:t>Modificaciones clave en los lineamientos del SED, que comenzaron a aplicarse en 1993 y se ajustaron regularmente hasta 2008.</w:t>
      </w:r>
    </w:p>
    <w:p w14:paraId="46CD14FD" w14:textId="77777777" w:rsidR="000B3A13" w:rsidRPr="000B3A13" w:rsidRDefault="000B3A13" w:rsidP="000B3A13">
      <w:pPr>
        <w:numPr>
          <w:ilvl w:val="0"/>
          <w:numId w:val="1"/>
        </w:numPr>
      </w:pPr>
      <w:r w:rsidRPr="000B3A13">
        <w:rPr>
          <w:b/>
          <w:bCs/>
        </w:rPr>
        <w:t>Marco Jurídico</w:t>
      </w:r>
      <w:r w:rsidRPr="000B3A13">
        <w:t xml:space="preserve"> (pág. 7)</w:t>
      </w:r>
    </w:p>
    <w:p w14:paraId="44AB1264" w14:textId="77777777" w:rsidR="000B3A13" w:rsidRPr="000B3A13" w:rsidRDefault="000B3A13" w:rsidP="000B3A13">
      <w:pPr>
        <w:numPr>
          <w:ilvl w:val="1"/>
          <w:numId w:val="3"/>
        </w:numPr>
      </w:pPr>
      <w:r w:rsidRPr="000B3A13">
        <w:t>Leyes y reglamentos que rigen el SED, como la Ley General de Educación y la Ley Federal de Responsabilidades Administrativas.</w:t>
      </w:r>
    </w:p>
    <w:p w14:paraId="71ED500E" w14:textId="77777777" w:rsidR="000B3A13" w:rsidRPr="000B3A13" w:rsidRDefault="000B3A13" w:rsidP="000B3A13">
      <w:pPr>
        <w:numPr>
          <w:ilvl w:val="0"/>
          <w:numId w:val="1"/>
        </w:numPr>
      </w:pPr>
      <w:r w:rsidRPr="000B3A13">
        <w:rPr>
          <w:b/>
          <w:bCs/>
        </w:rPr>
        <w:t>Objetivos del Manual</w:t>
      </w:r>
      <w:r w:rsidRPr="000B3A13">
        <w:t xml:space="preserve"> (pág. 8)</w:t>
      </w:r>
    </w:p>
    <w:p w14:paraId="38251F19" w14:textId="77777777" w:rsidR="000B3A13" w:rsidRPr="000B3A13" w:rsidRDefault="000B3A13" w:rsidP="000B3A13">
      <w:pPr>
        <w:numPr>
          <w:ilvl w:val="1"/>
          <w:numId w:val="4"/>
        </w:numPr>
      </w:pPr>
      <w:r w:rsidRPr="000B3A13">
        <w:t>Normar procesos para la incorporación y permanencia en el SED.</w:t>
      </w:r>
    </w:p>
    <w:p w14:paraId="0326DF39" w14:textId="77777777" w:rsidR="000B3A13" w:rsidRPr="000B3A13" w:rsidRDefault="000B3A13" w:rsidP="000B3A13">
      <w:pPr>
        <w:numPr>
          <w:ilvl w:val="1"/>
          <w:numId w:val="4"/>
        </w:numPr>
      </w:pPr>
      <w:r w:rsidRPr="000B3A13">
        <w:t>Asegurar eficiencia y transparencia en el otorgamiento de apoyos económicos.</w:t>
      </w:r>
    </w:p>
    <w:p w14:paraId="054E38B8" w14:textId="77777777" w:rsidR="000B3A13" w:rsidRPr="000B3A13" w:rsidRDefault="000B3A13" w:rsidP="000B3A13">
      <w:pPr>
        <w:numPr>
          <w:ilvl w:val="0"/>
          <w:numId w:val="1"/>
        </w:numPr>
      </w:pPr>
      <w:r w:rsidRPr="000B3A13">
        <w:rPr>
          <w:b/>
          <w:bCs/>
        </w:rPr>
        <w:t>Alcance</w:t>
      </w:r>
      <w:r w:rsidRPr="000B3A13">
        <w:t xml:space="preserve"> (pág. 8)</w:t>
      </w:r>
    </w:p>
    <w:p w14:paraId="24E2A85D" w14:textId="77777777" w:rsidR="000B3A13" w:rsidRPr="000B3A13" w:rsidRDefault="000B3A13" w:rsidP="000B3A13">
      <w:pPr>
        <w:numPr>
          <w:ilvl w:val="1"/>
          <w:numId w:val="5"/>
        </w:numPr>
      </w:pPr>
      <w:r w:rsidRPr="000B3A13">
        <w:t>Aplicación del manual en oficinas centrales y delegaciones estatales.</w:t>
      </w:r>
    </w:p>
    <w:p w14:paraId="2661C720" w14:textId="77777777" w:rsidR="000B3A13" w:rsidRPr="000B3A13" w:rsidRDefault="000B3A13" w:rsidP="000B3A13">
      <w:pPr>
        <w:numPr>
          <w:ilvl w:val="0"/>
          <w:numId w:val="1"/>
        </w:numPr>
      </w:pPr>
      <w:r w:rsidRPr="000B3A13">
        <w:rPr>
          <w:b/>
          <w:bCs/>
        </w:rPr>
        <w:t>Normas Generales</w:t>
      </w:r>
      <w:r w:rsidRPr="000B3A13">
        <w:t xml:space="preserve"> (pág. 9-15)</w:t>
      </w:r>
    </w:p>
    <w:p w14:paraId="1020EEEE" w14:textId="77777777" w:rsidR="000B3A13" w:rsidRPr="000B3A13" w:rsidRDefault="000B3A13" w:rsidP="000B3A13">
      <w:pPr>
        <w:numPr>
          <w:ilvl w:val="1"/>
          <w:numId w:val="6"/>
        </w:numPr>
      </w:pPr>
      <w:r w:rsidRPr="000B3A13">
        <w:t>Responsabilidades de la Dirección de Apoyo a la Operación y delegaciones estatales.</w:t>
      </w:r>
    </w:p>
    <w:p w14:paraId="5A7AE98D" w14:textId="77777777" w:rsidR="000B3A13" w:rsidRPr="000B3A13" w:rsidRDefault="000B3A13" w:rsidP="000B3A13">
      <w:pPr>
        <w:numPr>
          <w:ilvl w:val="1"/>
          <w:numId w:val="6"/>
        </w:numPr>
      </w:pPr>
      <w:r w:rsidRPr="000B3A13">
        <w:t>Procedimientos para la entrega de apoyos económicos, incluyendo la temporalidad y periodicidad de estos.</w:t>
      </w:r>
    </w:p>
    <w:p w14:paraId="385EBA8D" w14:textId="77777777" w:rsidR="000B3A13" w:rsidRPr="000B3A13" w:rsidRDefault="000B3A13" w:rsidP="000B3A13">
      <w:pPr>
        <w:numPr>
          <w:ilvl w:val="0"/>
          <w:numId w:val="1"/>
        </w:numPr>
      </w:pPr>
      <w:r w:rsidRPr="000B3A13">
        <w:rPr>
          <w:b/>
          <w:bCs/>
        </w:rPr>
        <w:t>Entrega de Apoyos Adicionales</w:t>
      </w:r>
      <w:r w:rsidRPr="000B3A13">
        <w:t xml:space="preserve"> (pág. 15-17)</w:t>
      </w:r>
    </w:p>
    <w:p w14:paraId="252779CF" w14:textId="77777777" w:rsidR="000B3A13" w:rsidRPr="000B3A13" w:rsidRDefault="000B3A13" w:rsidP="000B3A13">
      <w:pPr>
        <w:numPr>
          <w:ilvl w:val="1"/>
          <w:numId w:val="7"/>
        </w:numPr>
      </w:pPr>
      <w:r w:rsidRPr="000B3A13">
        <w:t>Procedimientos para la inscripción, reinscripción, y apoyo para gastos médicos y funerarios.</w:t>
      </w:r>
    </w:p>
    <w:p w14:paraId="7678B1B8" w14:textId="77777777" w:rsidR="000B3A13" w:rsidRPr="000B3A13" w:rsidRDefault="000B3A13" w:rsidP="000B3A13">
      <w:pPr>
        <w:numPr>
          <w:ilvl w:val="0"/>
          <w:numId w:val="1"/>
        </w:numPr>
      </w:pPr>
      <w:r w:rsidRPr="000B3A13">
        <w:rPr>
          <w:b/>
          <w:bCs/>
        </w:rPr>
        <w:t>Normas Específicas de Operación</w:t>
      </w:r>
      <w:r w:rsidRPr="000B3A13">
        <w:t xml:space="preserve"> (pág. 17-25)</w:t>
      </w:r>
    </w:p>
    <w:p w14:paraId="0F46D08A" w14:textId="77777777" w:rsidR="000B3A13" w:rsidRPr="000B3A13" w:rsidRDefault="000B3A13" w:rsidP="000B3A13">
      <w:pPr>
        <w:numPr>
          <w:ilvl w:val="1"/>
          <w:numId w:val="8"/>
        </w:numPr>
      </w:pPr>
      <w:r w:rsidRPr="000B3A13">
        <w:t>Procedimientos para cambios de plantel, carrera, entidad federativa, país y manejo de prórrogas y recesos en la entrega de apoyos.</w:t>
      </w:r>
    </w:p>
    <w:p w14:paraId="2ABAF8CE" w14:textId="77777777" w:rsidR="000B3A13" w:rsidRPr="000B3A13" w:rsidRDefault="000B3A13" w:rsidP="000B3A13">
      <w:pPr>
        <w:numPr>
          <w:ilvl w:val="0"/>
          <w:numId w:val="1"/>
        </w:numPr>
      </w:pPr>
      <w:r w:rsidRPr="000B3A13">
        <w:rPr>
          <w:b/>
          <w:bCs/>
        </w:rPr>
        <w:t>Procedimientos</w:t>
      </w:r>
      <w:r w:rsidRPr="000B3A13">
        <w:t xml:space="preserve"> (pág. 26-70)</w:t>
      </w:r>
    </w:p>
    <w:p w14:paraId="61E7B2ED" w14:textId="784E1147" w:rsidR="000B3A13" w:rsidRPr="000B3A13" w:rsidRDefault="000B3A13" w:rsidP="000B3A13">
      <w:pPr>
        <w:pStyle w:val="Prrafodelista"/>
        <w:numPr>
          <w:ilvl w:val="1"/>
          <w:numId w:val="1"/>
        </w:numPr>
      </w:pPr>
      <w:r w:rsidRPr="000B3A13">
        <w:rPr>
          <w:b/>
          <w:bCs/>
        </w:rPr>
        <w:t>Incorporación de Beneficiarios</w:t>
      </w:r>
      <w:r w:rsidRPr="000B3A13">
        <w:t xml:space="preserve"> (pág. 27-37)</w:t>
      </w:r>
    </w:p>
    <w:p w14:paraId="10C821DD" w14:textId="77777777" w:rsidR="000B3A13" w:rsidRPr="000B3A13" w:rsidRDefault="000B3A13" w:rsidP="000B3A13">
      <w:pPr>
        <w:ind w:left="2520"/>
      </w:pPr>
      <w:r w:rsidRPr="000B3A13">
        <w:t>Objetivo: Facilitar la incorporación y continuidad educativa de los ex prestadores de servicio social.</w:t>
      </w:r>
    </w:p>
    <w:p w14:paraId="68C7E71C" w14:textId="77777777" w:rsidR="000B3A13" w:rsidRPr="000B3A13" w:rsidRDefault="000B3A13" w:rsidP="000B3A13">
      <w:pPr>
        <w:ind w:left="2520"/>
      </w:pPr>
      <w:r w:rsidRPr="000B3A13">
        <w:lastRenderedPageBreak/>
        <w:t>Diagramas de flujo y normas de operación para la incorporación y expedición de credenciales.</w:t>
      </w:r>
    </w:p>
    <w:p w14:paraId="57FA167B" w14:textId="77777777" w:rsidR="000B3A13" w:rsidRPr="000B3A13" w:rsidRDefault="000B3A13" w:rsidP="000B3A13">
      <w:pPr>
        <w:pStyle w:val="Prrafodelista"/>
        <w:numPr>
          <w:ilvl w:val="0"/>
          <w:numId w:val="11"/>
        </w:numPr>
      </w:pPr>
      <w:r w:rsidRPr="000B3A13">
        <w:rPr>
          <w:b/>
          <w:bCs/>
        </w:rPr>
        <w:t>Solicitud de Prórrogas y Cambios</w:t>
      </w:r>
      <w:r w:rsidRPr="000B3A13">
        <w:t xml:space="preserve"> (pág. 42-53)</w:t>
      </w:r>
    </w:p>
    <w:p w14:paraId="303D4972" w14:textId="77777777" w:rsidR="000B3A13" w:rsidRPr="000B3A13" w:rsidRDefault="000B3A13" w:rsidP="000B3A13">
      <w:pPr>
        <w:ind w:left="2520"/>
      </w:pPr>
      <w:r w:rsidRPr="000B3A13">
        <w:t>Procedimientos detallados para solicitar y autorizar prórrogas y cambios de entidad federativa o país.</w:t>
      </w:r>
    </w:p>
    <w:p w14:paraId="3A376F4F" w14:textId="77777777" w:rsidR="000B3A13" w:rsidRPr="000B3A13" w:rsidRDefault="000B3A13" w:rsidP="000B3A13">
      <w:pPr>
        <w:pStyle w:val="Prrafodelista"/>
        <w:numPr>
          <w:ilvl w:val="0"/>
          <w:numId w:val="11"/>
        </w:numPr>
      </w:pPr>
      <w:r w:rsidRPr="000B3A13">
        <w:rPr>
          <w:b/>
          <w:bCs/>
        </w:rPr>
        <w:t>Receso en la Entrega de Apoyo Económico</w:t>
      </w:r>
      <w:r w:rsidRPr="000B3A13">
        <w:t xml:space="preserve"> (pág. 54-60)</w:t>
      </w:r>
    </w:p>
    <w:p w14:paraId="7BB5FBD1" w14:textId="77777777" w:rsidR="000B3A13" w:rsidRPr="000B3A13" w:rsidRDefault="000B3A13" w:rsidP="000B3A13">
      <w:pPr>
        <w:ind w:left="2520"/>
      </w:pPr>
      <w:r w:rsidRPr="000B3A13">
        <w:t>Procedimientos para solicitar y autorizar recesos en la entrega de apoyo económico, incluyendo los derechos de los beneficiarios durante el receso.</w:t>
      </w:r>
    </w:p>
    <w:p w14:paraId="0F8A8421" w14:textId="77777777" w:rsidR="000B3A13" w:rsidRPr="000B3A13" w:rsidRDefault="000B3A13" w:rsidP="000B3A13">
      <w:pPr>
        <w:numPr>
          <w:ilvl w:val="0"/>
          <w:numId w:val="1"/>
        </w:numPr>
      </w:pPr>
      <w:r w:rsidRPr="000B3A13">
        <w:rPr>
          <w:b/>
          <w:bCs/>
        </w:rPr>
        <w:t>Documentos de Referencia y Glosario</w:t>
      </w:r>
      <w:r w:rsidRPr="000B3A13">
        <w:t xml:space="preserve"> (pág. 73-74)</w:t>
      </w:r>
    </w:p>
    <w:p w14:paraId="4FFB9B90" w14:textId="77777777" w:rsidR="000B3A13" w:rsidRPr="000B3A13" w:rsidRDefault="000B3A13" w:rsidP="000B3A13">
      <w:pPr>
        <w:numPr>
          <w:ilvl w:val="1"/>
          <w:numId w:val="1"/>
        </w:numPr>
        <w:tabs>
          <w:tab w:val="num" w:pos="1440"/>
        </w:tabs>
      </w:pPr>
      <w:r w:rsidRPr="000B3A13">
        <w:t>Listado de documentos de referencia utilizados para la elaboración del manual y definición de términos clave.</w:t>
      </w:r>
    </w:p>
    <w:p w14:paraId="028BB849" w14:textId="77777777" w:rsidR="000B3A13" w:rsidRPr="000B3A13" w:rsidRDefault="000B3A13" w:rsidP="000B3A13">
      <w:pPr>
        <w:numPr>
          <w:ilvl w:val="0"/>
          <w:numId w:val="1"/>
        </w:numPr>
      </w:pPr>
      <w:r w:rsidRPr="000B3A13">
        <w:rPr>
          <w:b/>
          <w:bCs/>
        </w:rPr>
        <w:t>Anexos</w:t>
      </w:r>
      <w:r w:rsidRPr="000B3A13">
        <w:t xml:space="preserve"> (pág. 77-80)</w:t>
      </w:r>
    </w:p>
    <w:p w14:paraId="45297B3F" w14:textId="77777777" w:rsidR="000B3A13" w:rsidRPr="000B3A13" w:rsidRDefault="000B3A13" w:rsidP="000B3A13">
      <w:pPr>
        <w:numPr>
          <w:ilvl w:val="1"/>
          <w:numId w:val="1"/>
        </w:numPr>
        <w:tabs>
          <w:tab w:val="num" w:pos="1440"/>
        </w:tabs>
      </w:pPr>
      <w:r w:rsidRPr="000B3A13">
        <w:t>Formatos y ejemplos de documentos relevantes.</w:t>
      </w:r>
    </w:p>
    <w:p w14:paraId="26FCFE79" w14:textId="77777777" w:rsidR="0073176C" w:rsidRDefault="0073176C"/>
    <w:sectPr w:rsidR="00731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437A"/>
    <w:multiLevelType w:val="multilevel"/>
    <w:tmpl w:val="9AC0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86899"/>
    <w:multiLevelType w:val="hybridMultilevel"/>
    <w:tmpl w:val="AE463EAA"/>
    <w:lvl w:ilvl="0" w:tplc="080A0013">
      <w:start w:val="1"/>
      <w:numFmt w:val="upperRoman"/>
      <w:lvlText w:val="%1."/>
      <w:lvlJc w:val="righ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0C61E0"/>
    <w:multiLevelType w:val="multilevel"/>
    <w:tmpl w:val="9AC0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95B03"/>
    <w:multiLevelType w:val="multilevel"/>
    <w:tmpl w:val="9AC0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828A6"/>
    <w:multiLevelType w:val="multilevel"/>
    <w:tmpl w:val="9AC0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8C05E8"/>
    <w:multiLevelType w:val="multilevel"/>
    <w:tmpl w:val="FA12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86902"/>
    <w:multiLevelType w:val="multilevel"/>
    <w:tmpl w:val="9AC0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9A0B1C"/>
    <w:multiLevelType w:val="multilevel"/>
    <w:tmpl w:val="9AC0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66502A"/>
    <w:multiLevelType w:val="hybridMultilevel"/>
    <w:tmpl w:val="3DD0A3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07794"/>
    <w:multiLevelType w:val="multilevel"/>
    <w:tmpl w:val="9AC0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8B1D6E"/>
    <w:multiLevelType w:val="multilevel"/>
    <w:tmpl w:val="9AC0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57474">
    <w:abstractNumId w:val="5"/>
  </w:num>
  <w:num w:numId="2" w16cid:durableId="1879734695">
    <w:abstractNumId w:val="0"/>
  </w:num>
  <w:num w:numId="3" w16cid:durableId="2100710878">
    <w:abstractNumId w:val="2"/>
  </w:num>
  <w:num w:numId="4" w16cid:durableId="46298527">
    <w:abstractNumId w:val="7"/>
  </w:num>
  <w:num w:numId="5" w16cid:durableId="564605917">
    <w:abstractNumId w:val="10"/>
  </w:num>
  <w:num w:numId="6" w16cid:durableId="28577495">
    <w:abstractNumId w:val="3"/>
  </w:num>
  <w:num w:numId="7" w16cid:durableId="1574973240">
    <w:abstractNumId w:val="6"/>
  </w:num>
  <w:num w:numId="8" w16cid:durableId="238902163">
    <w:abstractNumId w:val="9"/>
  </w:num>
  <w:num w:numId="9" w16cid:durableId="552237234">
    <w:abstractNumId w:val="4"/>
  </w:num>
  <w:num w:numId="10" w16cid:durableId="107509189">
    <w:abstractNumId w:val="8"/>
  </w:num>
  <w:num w:numId="11" w16cid:durableId="962879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13"/>
    <w:rsid w:val="000B3A13"/>
    <w:rsid w:val="00186B1E"/>
    <w:rsid w:val="003B526E"/>
    <w:rsid w:val="005D1BDC"/>
    <w:rsid w:val="0073176C"/>
    <w:rsid w:val="009A4B63"/>
    <w:rsid w:val="009E0C84"/>
    <w:rsid w:val="00E9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8B2B"/>
  <w15:chartTrackingRefBased/>
  <w15:docId w15:val="{FF863552-1244-4A32-9145-EFAE3193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3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3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3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3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3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3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3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3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3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3A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3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3A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3A1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3A1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3A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3A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3A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3A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3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3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3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3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3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3A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3A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3A1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3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3A1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3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0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Guadiana Martinez</dc:creator>
  <cp:keywords/>
  <dc:description/>
  <cp:lastModifiedBy>Ángel Guadiana Martinez</cp:lastModifiedBy>
  <cp:revision>2</cp:revision>
  <dcterms:created xsi:type="dcterms:W3CDTF">2024-09-04T22:10:00Z</dcterms:created>
  <dcterms:modified xsi:type="dcterms:W3CDTF">2024-09-04T22:10:00Z</dcterms:modified>
</cp:coreProperties>
</file>