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Layout w:type="fixed"/>
        <w:tblCellMar>
          <w:left w:w="10" w:type="dxa"/>
          <w:right w:w="10" w:type="dxa"/>
        </w:tblCellMar>
        <w:tblLook w:val="04A0" w:firstRow="1" w:lastRow="0" w:firstColumn="1" w:lastColumn="0" w:noHBand="0" w:noVBand="1"/>
      </w:tblPr>
      <w:tblGrid>
        <w:gridCol w:w="2099"/>
        <w:gridCol w:w="6973"/>
      </w:tblGrid>
      <w:tr w:rsidR="00B857F4">
        <w:tblPrEx>
          <w:tblCellMar>
            <w:top w:w="0" w:type="dxa"/>
            <w:bottom w:w="0" w:type="dxa"/>
          </w:tblCellMar>
        </w:tblPrEx>
        <w:tc>
          <w:tcPr>
            <w:tcW w:w="9072" w:type="dxa"/>
            <w:gridSpan w:val="2"/>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 xml:space="preserve">Zielbestimmung für </w:t>
            </w:r>
            <w:proofErr w:type="spellStart"/>
            <w:r>
              <w:rPr>
                <w:b/>
                <w:bCs/>
                <w:sz w:val="21"/>
              </w:rPr>
              <w:t>Memoric</w:t>
            </w:r>
            <w:proofErr w:type="spellEnd"/>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rPr>
            </w:pPr>
            <w:r>
              <w:rPr>
                <w:b/>
                <w:bCs/>
              </w:rPr>
              <w:t>Produkt</w:t>
            </w:r>
            <w:r>
              <w:rPr>
                <w:b/>
                <w:bCs/>
              </w:rPr>
              <w:softHyphen/>
              <w:t>beschreibung</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jc w:val="both"/>
              <w:rPr>
                <w:sz w:val="21"/>
              </w:rPr>
            </w:pPr>
            <w:r>
              <w:rPr>
                <w:sz w:val="21"/>
              </w:rPr>
              <w:t xml:space="preserve">Es wird ein Spiel </w:t>
            </w:r>
            <w:r w:rsidR="00011E86">
              <w:rPr>
                <w:sz w:val="21"/>
              </w:rPr>
              <w:t xml:space="preserve">für 2 Spielende </w:t>
            </w:r>
            <w:r>
              <w:rPr>
                <w:sz w:val="21"/>
              </w:rPr>
              <w:t xml:space="preserve">nach dem Vorbild eines Memory-Spiels entwickelt, </w:t>
            </w:r>
            <w:r w:rsidR="00011E86">
              <w:rPr>
                <w:sz w:val="21"/>
              </w:rPr>
              <w:t>bei</w:t>
            </w:r>
            <w:r>
              <w:rPr>
                <w:sz w:val="21"/>
              </w:rPr>
              <w:t xml:space="preserve"> </w:t>
            </w:r>
            <w:r w:rsidR="00011E86">
              <w:rPr>
                <w:sz w:val="21"/>
              </w:rPr>
              <w:t>dem</w:t>
            </w:r>
            <w:r>
              <w:rPr>
                <w:sz w:val="21"/>
              </w:rPr>
              <w:t xml:space="preserve"> Paare von Musikschnipseln anstelle von Bildern zu finden sind.    </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Musskriterien</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ind w:left="57"/>
              <w:jc w:val="both"/>
              <w:rPr>
                <w:sz w:val="21"/>
              </w:rPr>
            </w:pPr>
            <w:r>
              <w:rPr>
                <w:sz w:val="21"/>
              </w:rPr>
              <w:t>- Es gibt 6 Paare</w:t>
            </w:r>
            <w:r w:rsidR="00011E86">
              <w:rPr>
                <w:sz w:val="21"/>
              </w:rPr>
              <w:t xml:space="preserve"> (= </w:t>
            </w:r>
            <w:r>
              <w:rPr>
                <w:sz w:val="21"/>
              </w:rPr>
              <w:t>12 Karten</w:t>
            </w:r>
            <w:r w:rsidR="00011E86">
              <w:rPr>
                <w:sz w:val="21"/>
              </w:rPr>
              <w:t>)</w:t>
            </w:r>
            <w:r>
              <w:rPr>
                <w:sz w:val="21"/>
              </w:rPr>
              <w:t>, die auf dem Bildschirm angezeigt werden und die jeweils mit einer Audio-Datei verbunden sind.</w:t>
            </w:r>
          </w:p>
          <w:p w:rsidR="00B857F4" w:rsidRDefault="00000000">
            <w:pPr>
              <w:pStyle w:val="TableContents"/>
              <w:ind w:left="57"/>
              <w:jc w:val="both"/>
              <w:rPr>
                <w:sz w:val="21"/>
              </w:rPr>
            </w:pPr>
            <w:r>
              <w:rPr>
                <w:sz w:val="21"/>
              </w:rPr>
              <w:t>- Es gibt für 2 Spiel</w:t>
            </w:r>
            <w:r w:rsidR="00011E86">
              <w:rPr>
                <w:sz w:val="21"/>
              </w:rPr>
              <w:t>ende</w:t>
            </w:r>
            <w:r>
              <w:rPr>
                <w:sz w:val="21"/>
              </w:rPr>
              <w:t xml:space="preserve"> einen hochzählenden Score, der die Anzahl der gefundenen Paare angibt.</w:t>
            </w:r>
          </w:p>
          <w:p w:rsidR="00B857F4" w:rsidRDefault="00000000">
            <w:pPr>
              <w:pStyle w:val="TableContents"/>
              <w:ind w:left="57"/>
              <w:jc w:val="both"/>
              <w:rPr>
                <w:sz w:val="21"/>
              </w:rPr>
            </w:pPr>
            <w:r>
              <w:rPr>
                <w:sz w:val="21"/>
              </w:rPr>
              <w:t>- Wenn eine Karte durch einen Spie</w:t>
            </w:r>
            <w:r w:rsidR="00011E86">
              <w:rPr>
                <w:sz w:val="21"/>
              </w:rPr>
              <w:t>lenden</w:t>
            </w:r>
            <w:r>
              <w:rPr>
                <w:sz w:val="21"/>
              </w:rPr>
              <w:t xml:space="preserve"> per Mausklick ausgewählt wurde, ändert sich ihre Farbe und der Musikschnipsel wird abgespielt. Im Anschluss darf der Spieler eine weitere Karte aufdecken, deren Farbe sich ändert, die Farbe der ersten Karte bleibt unverändert.</w:t>
            </w:r>
          </w:p>
          <w:p w:rsidR="00B857F4" w:rsidRDefault="00000000">
            <w:pPr>
              <w:pStyle w:val="TableContents"/>
              <w:ind w:left="57"/>
              <w:jc w:val="both"/>
              <w:rPr>
                <w:sz w:val="21"/>
              </w:rPr>
            </w:pPr>
            <w:r>
              <w:rPr>
                <w:sz w:val="21"/>
              </w:rPr>
              <w:t>- Jeder S</w:t>
            </w:r>
            <w:r w:rsidR="00011E86">
              <w:rPr>
                <w:sz w:val="21"/>
              </w:rPr>
              <w:t>pielende</w:t>
            </w:r>
            <w:r>
              <w:rPr>
                <w:sz w:val="21"/>
              </w:rPr>
              <w:t xml:space="preserve"> kann genau 2 Karten auswählen. Falls er</w:t>
            </w:r>
            <w:r w:rsidR="00011E86">
              <w:rPr>
                <w:sz w:val="21"/>
              </w:rPr>
              <w:t>/sie</w:t>
            </w:r>
            <w:r>
              <w:rPr>
                <w:sz w:val="21"/>
              </w:rPr>
              <w:t xml:space="preserve"> ein Paar gefunden hat, </w:t>
            </w:r>
            <w:r w:rsidR="00011E86">
              <w:rPr>
                <w:sz w:val="21"/>
              </w:rPr>
              <w:t>„verschwinden“</w:t>
            </w:r>
            <w:r>
              <w:rPr>
                <w:sz w:val="21"/>
              </w:rPr>
              <w:t xml:space="preserve"> die Karten des Paares und er darf erneut 2 Karten auswählen. Ansonsten ist der andere Spiele</w:t>
            </w:r>
            <w:r w:rsidR="00011E86">
              <w:rPr>
                <w:sz w:val="21"/>
              </w:rPr>
              <w:t>nde</w:t>
            </w:r>
            <w:r>
              <w:rPr>
                <w:sz w:val="21"/>
              </w:rPr>
              <w:t xml:space="preserve"> an der Reihe.</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Wunschkriterien</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jc w:val="both"/>
              <w:rPr>
                <w:sz w:val="21"/>
              </w:rPr>
            </w:pPr>
            <w:r>
              <w:rPr>
                <w:sz w:val="21"/>
              </w:rPr>
              <w:t>- Es gibt 12 Paare</w:t>
            </w:r>
            <w:r w:rsidR="00011E86">
              <w:rPr>
                <w:sz w:val="21"/>
              </w:rPr>
              <w:t xml:space="preserve"> (= </w:t>
            </w:r>
            <w:r>
              <w:rPr>
                <w:sz w:val="21"/>
              </w:rPr>
              <w:t>24 Karten</w:t>
            </w:r>
            <w:r w:rsidR="00011E86">
              <w:rPr>
                <w:sz w:val="21"/>
              </w:rPr>
              <w:t>)</w:t>
            </w:r>
            <w:r>
              <w:rPr>
                <w:sz w:val="21"/>
              </w:rPr>
              <w:t>, die auf dem Bildschirm angezeigt werden.</w:t>
            </w:r>
          </w:p>
          <w:p w:rsidR="00B857F4" w:rsidRDefault="00000000">
            <w:pPr>
              <w:pStyle w:val="TableContents"/>
              <w:jc w:val="both"/>
              <w:rPr>
                <w:sz w:val="21"/>
              </w:rPr>
            </w:pPr>
            <w:r>
              <w:rPr>
                <w:sz w:val="21"/>
              </w:rPr>
              <w:t>- Name der Spiel</w:t>
            </w:r>
            <w:r w:rsidR="00011E86">
              <w:rPr>
                <w:sz w:val="21"/>
              </w:rPr>
              <w:t>enden</w:t>
            </w:r>
            <w:r>
              <w:rPr>
                <w:sz w:val="21"/>
              </w:rPr>
              <w:t xml:space="preserve"> können auf </w:t>
            </w:r>
            <w:r w:rsidR="00011E86">
              <w:rPr>
                <w:sz w:val="21"/>
              </w:rPr>
              <w:t>einem</w:t>
            </w:r>
            <w:r>
              <w:rPr>
                <w:sz w:val="21"/>
              </w:rPr>
              <w:t xml:space="preserve"> Startbildschirm eingegeben werden und tauchen auf dem Spielfeld</w:t>
            </w:r>
            <w:r w:rsidR="00011E86">
              <w:rPr>
                <w:sz w:val="21"/>
              </w:rPr>
              <w:t xml:space="preserve"> anstelle von „Spieler 1“ / „Spieler 2“</w:t>
            </w:r>
            <w:r>
              <w:rPr>
                <w:sz w:val="21"/>
              </w:rPr>
              <w:t xml:space="preserve"> auf.</w:t>
            </w:r>
          </w:p>
          <w:p w:rsidR="00B857F4" w:rsidRDefault="00000000">
            <w:pPr>
              <w:pStyle w:val="TableContents"/>
              <w:jc w:val="both"/>
              <w:rPr>
                <w:sz w:val="21"/>
              </w:rPr>
            </w:pPr>
            <w:r>
              <w:rPr>
                <w:sz w:val="21"/>
              </w:rPr>
              <w:t>- Die Anzahl der Spieler ist variabel (Eingabe über den Startbildschirm).</w:t>
            </w:r>
          </w:p>
          <w:p w:rsidR="00B857F4" w:rsidRDefault="00000000">
            <w:pPr>
              <w:pStyle w:val="TableContents"/>
              <w:jc w:val="both"/>
              <w:rPr>
                <w:sz w:val="21"/>
              </w:rPr>
            </w:pPr>
            <w:r>
              <w:rPr>
                <w:sz w:val="21"/>
              </w:rPr>
              <w:t>- Das Farbschema kann zu Beginn ausgewählt werden.</w:t>
            </w:r>
          </w:p>
          <w:p w:rsidR="00B857F4" w:rsidRDefault="00000000">
            <w:pPr>
              <w:pStyle w:val="TableContents"/>
              <w:jc w:val="both"/>
              <w:rPr>
                <w:sz w:val="21"/>
              </w:rPr>
            </w:pPr>
            <w:r>
              <w:rPr>
                <w:sz w:val="21"/>
              </w:rPr>
              <w:t xml:space="preserve">- Es gibt verschiedene Levels, in denen unterschiedliche Musik-Genres abgespielt werden.    </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Abgrenzungs</w:t>
            </w:r>
            <w:r>
              <w:rPr>
                <w:b/>
                <w:bCs/>
                <w:sz w:val="21"/>
              </w:rPr>
              <w:softHyphen/>
              <w:t>kriterien</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Pr="00011E86" w:rsidRDefault="00000000">
            <w:pPr>
              <w:snapToGrid w:val="0"/>
              <w:rPr>
                <w:rFonts w:ascii="Liberation Sans" w:hAnsi="Liberation Sans" w:cs="Liberation Serif"/>
                <w:sz w:val="21"/>
                <w:szCs w:val="21"/>
              </w:rPr>
            </w:pPr>
            <w:r w:rsidRPr="00011E86">
              <w:rPr>
                <w:rFonts w:ascii="Liberation Sans" w:hAnsi="Liberation Sans" w:cs="Liberation Serif"/>
                <w:sz w:val="21"/>
                <w:szCs w:val="21"/>
              </w:rPr>
              <w:t>- Ein Einspieler-Modus indem gegen den Computer gespielt wird, soll nicht implementiert werden.</w:t>
            </w:r>
          </w:p>
          <w:p w:rsidR="00B857F4" w:rsidRPr="00011E86" w:rsidRDefault="00000000">
            <w:pPr>
              <w:snapToGrid w:val="0"/>
              <w:rPr>
                <w:rFonts w:ascii="Liberation Sans" w:hAnsi="Liberation Sans" w:cs="Liberation Serif"/>
                <w:sz w:val="21"/>
                <w:szCs w:val="21"/>
              </w:rPr>
            </w:pPr>
            <w:r w:rsidRPr="00011E86">
              <w:rPr>
                <w:rFonts w:ascii="Liberation Sans" w:hAnsi="Liberation Sans" w:cs="Liberation Serif"/>
                <w:sz w:val="21"/>
                <w:szCs w:val="21"/>
              </w:rPr>
              <w:t>- Es gibt keine Möglichkeit die bereits abgespielte Audio-Datei nach dessen Auswahl mehrmals abspielen zu lassen.</w:t>
            </w:r>
          </w:p>
          <w:p w:rsidR="00B857F4" w:rsidRDefault="00000000">
            <w:pPr>
              <w:snapToGrid w:val="0"/>
              <w:rPr>
                <w:rFonts w:ascii="Liberation Sans" w:hAnsi="Liberation Sans" w:cs="Liberation Serif"/>
                <w:sz w:val="24"/>
              </w:rPr>
            </w:pPr>
            <w:r w:rsidRPr="00011E86">
              <w:rPr>
                <w:rFonts w:ascii="Liberation Sans" w:hAnsi="Liberation Sans" w:cs="Liberation Serif"/>
                <w:sz w:val="21"/>
                <w:szCs w:val="21"/>
              </w:rPr>
              <w:t>- Es gibt keine graphische Unterstützung zum Auffinden der Paare.</w:t>
            </w:r>
          </w:p>
        </w:tc>
      </w:tr>
      <w:tr w:rsidR="00B857F4">
        <w:tblPrEx>
          <w:tblCellMar>
            <w:top w:w="0" w:type="dxa"/>
            <w:bottom w:w="0" w:type="dxa"/>
          </w:tblCellMar>
        </w:tblPrEx>
        <w:tc>
          <w:tcPr>
            <w:tcW w:w="9072" w:type="dxa"/>
            <w:gridSpan w:val="2"/>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Produkteinsatz</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rPr>
            </w:pPr>
            <w:r>
              <w:rPr>
                <w:b/>
                <w:bCs/>
              </w:rPr>
              <w:t>Anwendungs</w:t>
            </w:r>
            <w:r>
              <w:rPr>
                <w:b/>
                <w:bCs/>
              </w:rPr>
              <w:softHyphen/>
              <w:t>bereiche</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jc w:val="both"/>
              <w:rPr>
                <w:sz w:val="21"/>
              </w:rPr>
            </w:pPr>
            <w:r>
              <w:rPr>
                <w:sz w:val="21"/>
              </w:rPr>
              <w:t>Das Spiel ist zum Trainieren von aufmerksamem, konzentriertem Zuhören sowie zu Unterhaltungszwecken entwickelt worden. Ein Einsatz in der Schule – z.B. Musikunterricht – ist angedacht.</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Zielgruppen</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jc w:val="both"/>
              <w:rPr>
                <w:sz w:val="21"/>
              </w:rPr>
            </w:pPr>
            <w:r>
              <w:rPr>
                <w:sz w:val="21"/>
              </w:rPr>
              <w:t>Alle Altersgruppen, vorausgesetzt Hörvermögen besteht.</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Benutzer</w:t>
            </w:r>
            <w:r>
              <w:rPr>
                <w:b/>
                <w:bCs/>
                <w:sz w:val="21"/>
              </w:rPr>
              <w:softHyphen/>
              <w:t>oberfläche</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Pr="00011E86" w:rsidRDefault="00000000">
            <w:pPr>
              <w:snapToGrid w:val="0"/>
              <w:rPr>
                <w:rFonts w:ascii="Liberation Sans" w:hAnsi="Liberation Sans" w:cs="Liberation Serif"/>
                <w:sz w:val="21"/>
                <w:szCs w:val="21"/>
              </w:rPr>
            </w:pPr>
            <w:proofErr w:type="spellStart"/>
            <w:r w:rsidRPr="00011E86">
              <w:rPr>
                <w:rFonts w:ascii="Liberation Sans" w:hAnsi="Liberation Sans" w:cs="Liberation Serif"/>
                <w:sz w:val="21"/>
                <w:szCs w:val="21"/>
              </w:rPr>
              <w:t>Memoric</w:t>
            </w:r>
            <w:proofErr w:type="spellEnd"/>
            <w:r w:rsidRPr="00011E86">
              <w:rPr>
                <w:rFonts w:ascii="Liberation Sans" w:hAnsi="Liberation Sans" w:cs="Liberation Serif"/>
                <w:sz w:val="21"/>
                <w:szCs w:val="21"/>
              </w:rPr>
              <w:t xml:space="preserve"> wird auf der graphischen Benutzeroberfläche</w:t>
            </w:r>
            <w:r w:rsidR="00011E86">
              <w:rPr>
                <w:rFonts w:ascii="Liberation Sans" w:hAnsi="Liberation Sans" w:cs="Liberation Serif"/>
                <w:sz w:val="21"/>
                <w:szCs w:val="21"/>
              </w:rPr>
              <w:t>, die mit Hilfe von Funktionalitäten des</w:t>
            </w:r>
            <w:r w:rsidRPr="00011E86">
              <w:rPr>
                <w:rFonts w:ascii="Liberation Sans" w:hAnsi="Liberation Sans" w:cs="Liberation Serif"/>
                <w:sz w:val="21"/>
                <w:szCs w:val="21"/>
              </w:rPr>
              <w:t xml:space="preserve"> </w:t>
            </w:r>
            <w:proofErr w:type="spellStart"/>
            <w:r w:rsidR="00011E86">
              <w:rPr>
                <w:rFonts w:ascii="Liberation Sans" w:hAnsi="Liberation Sans" w:cs="Liberation Serif"/>
                <w:sz w:val="21"/>
                <w:szCs w:val="21"/>
              </w:rPr>
              <w:t>fyne</w:t>
            </w:r>
            <w:proofErr w:type="spellEnd"/>
            <w:r w:rsidRPr="00011E86">
              <w:rPr>
                <w:rFonts w:ascii="Liberation Sans" w:hAnsi="Liberation Sans" w:cs="Liberation Serif"/>
                <w:sz w:val="21"/>
                <w:szCs w:val="21"/>
              </w:rPr>
              <w:t>-Moduls</w:t>
            </w:r>
            <w:r w:rsidR="00011E86">
              <w:rPr>
                <w:rFonts w:ascii="Liberation Sans" w:hAnsi="Liberation Sans" w:cs="Liberation Serif"/>
                <w:sz w:val="21"/>
                <w:szCs w:val="21"/>
              </w:rPr>
              <w:t xml:space="preserve"> gebaut wurde,</w:t>
            </w:r>
            <w:r w:rsidRPr="00011E86">
              <w:rPr>
                <w:rFonts w:ascii="Liberation Sans" w:hAnsi="Liberation Sans" w:cs="Liberation Serif"/>
                <w:sz w:val="21"/>
                <w:szCs w:val="21"/>
              </w:rPr>
              <w:t xml:space="preserve"> gespielt.</w:t>
            </w:r>
          </w:p>
        </w:tc>
      </w:tr>
      <w:tr w:rsidR="00B857F4">
        <w:tblPrEx>
          <w:tblCellMar>
            <w:top w:w="0" w:type="dxa"/>
            <w:bottom w:w="0" w:type="dxa"/>
          </w:tblCellMar>
        </w:tblPrEx>
        <w:trPr>
          <w:cantSplit/>
        </w:trPr>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Gesetze, Normen, Sicherheitsanfor</w:t>
            </w:r>
            <w:r>
              <w:rPr>
                <w:b/>
                <w:bCs/>
                <w:sz w:val="21"/>
              </w:rPr>
              <w:softHyphen/>
              <w:t>derungen, Plattform-abhängigkeiten, ...</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rsidP="00AF4C23">
            <w:pPr>
              <w:pStyle w:val="TableContents"/>
              <w:rPr>
                <w:sz w:val="21"/>
              </w:rPr>
            </w:pPr>
            <w:r>
              <w:rPr>
                <w:sz w:val="21"/>
              </w:rPr>
              <w:t xml:space="preserve">Die Ausführung des Spiels erfolgt plattformunabhängig, sofern </w:t>
            </w:r>
            <w:r w:rsidR="00011E86">
              <w:rPr>
                <w:sz w:val="21"/>
              </w:rPr>
              <w:t xml:space="preserve">die benötigten Pakete </w:t>
            </w:r>
            <w:r>
              <w:rPr>
                <w:sz w:val="21"/>
              </w:rPr>
              <w:t>d</w:t>
            </w:r>
            <w:r w:rsidR="00011E86">
              <w:rPr>
                <w:sz w:val="21"/>
              </w:rPr>
              <w:t>es</w:t>
            </w:r>
            <w:r>
              <w:rPr>
                <w:sz w:val="21"/>
              </w:rPr>
              <w:t xml:space="preserve"> </w:t>
            </w:r>
            <w:proofErr w:type="spellStart"/>
            <w:r w:rsidR="00011E86">
              <w:rPr>
                <w:sz w:val="21"/>
              </w:rPr>
              <w:t>fyne</w:t>
            </w:r>
            <w:proofErr w:type="spellEnd"/>
            <w:r>
              <w:rPr>
                <w:sz w:val="21"/>
              </w:rPr>
              <w:t>-</w:t>
            </w:r>
            <w:r w:rsidR="0082308C">
              <w:rPr>
                <w:sz w:val="21"/>
              </w:rPr>
              <w:t>Toolkits</w:t>
            </w:r>
            <w:r>
              <w:rPr>
                <w:sz w:val="21"/>
              </w:rPr>
              <w:t xml:space="preserve"> in einer Go-Entwicklungsumgebung </w:t>
            </w:r>
            <w:r w:rsidR="00011E86">
              <w:rPr>
                <w:sz w:val="21"/>
              </w:rPr>
              <w:t>heruntergeladen wurde</w:t>
            </w:r>
            <w:r w:rsidR="00AF4C23">
              <w:rPr>
                <w:sz w:val="21"/>
              </w:rPr>
              <w:t>n</w:t>
            </w:r>
            <w:r w:rsidR="0082308C">
              <w:rPr>
                <w:sz w:val="21"/>
              </w:rPr>
              <w:t xml:space="preserve"> (</w:t>
            </w:r>
            <w:proofErr w:type="spellStart"/>
            <w:r w:rsidR="0082308C">
              <w:rPr>
                <w:sz w:val="21"/>
              </w:rPr>
              <w:t>go</w:t>
            </w:r>
            <w:proofErr w:type="spellEnd"/>
            <w:r w:rsidR="0082308C">
              <w:rPr>
                <w:sz w:val="21"/>
              </w:rPr>
              <w:t xml:space="preserve"> </w:t>
            </w:r>
            <w:proofErr w:type="spellStart"/>
            <w:r w:rsidR="0082308C">
              <w:rPr>
                <w:sz w:val="21"/>
              </w:rPr>
              <w:t>get</w:t>
            </w:r>
            <w:proofErr w:type="spellEnd"/>
            <w:r w:rsidR="0082308C">
              <w:rPr>
                <w:sz w:val="21"/>
              </w:rPr>
              <w:t xml:space="preserve"> – Befehl muss vorher ausgeführt worden sei</w:t>
            </w:r>
            <w:r w:rsidR="00AF4C23">
              <w:rPr>
                <w:sz w:val="21"/>
              </w:rPr>
              <w:t>n:</w:t>
            </w:r>
            <w:r w:rsidR="0082308C">
              <w:rPr>
                <w:sz w:val="21"/>
              </w:rPr>
              <w:t xml:space="preserve"> siehe</w:t>
            </w:r>
            <w:r w:rsidR="00A7658B">
              <w:rPr>
                <w:sz w:val="21"/>
              </w:rPr>
              <w:t xml:space="preserve"> Installationshinweise</w:t>
            </w:r>
            <w:r w:rsidR="0082308C">
              <w:rPr>
                <w:sz w:val="21"/>
              </w:rPr>
              <w:t>)</w:t>
            </w:r>
          </w:p>
          <w:p w:rsidR="00B857F4" w:rsidRDefault="0082308C" w:rsidP="00AF4C23">
            <w:pPr>
              <w:pStyle w:val="TableContents"/>
              <w:rPr>
                <w:sz w:val="21"/>
              </w:rPr>
            </w:pPr>
            <w:r>
              <w:rPr>
                <w:sz w:val="21"/>
              </w:rPr>
              <w:t xml:space="preserve">Die Musikausschnitte entstammen einer lizenzfreien Aufnahme von „Le </w:t>
            </w:r>
            <w:proofErr w:type="spellStart"/>
            <w:r>
              <w:rPr>
                <w:sz w:val="21"/>
              </w:rPr>
              <w:t>carnaval</w:t>
            </w:r>
            <w:proofErr w:type="spellEnd"/>
            <w:r>
              <w:rPr>
                <w:sz w:val="21"/>
              </w:rPr>
              <w:t xml:space="preserve"> des </w:t>
            </w:r>
            <w:proofErr w:type="spellStart"/>
            <w:r>
              <w:rPr>
                <w:sz w:val="21"/>
              </w:rPr>
              <w:t>animaux</w:t>
            </w:r>
            <w:proofErr w:type="spellEnd"/>
            <w:r>
              <w:rPr>
                <w:sz w:val="21"/>
              </w:rPr>
              <w:t xml:space="preserve">“, Camille Saint-Saens (Quelle: </w:t>
            </w:r>
            <w:r w:rsidRPr="0082308C">
              <w:rPr>
                <w:sz w:val="21"/>
              </w:rPr>
              <w:t>https://imslp.org/wiki/Le_carnaval_des_animaux_(Saint-Sa%C3%ABns%2C_Camille)</w:t>
            </w:r>
            <w:r w:rsidR="00AF4C23">
              <w:rPr>
                <w:sz w:val="21"/>
              </w:rPr>
              <w:t>)</w:t>
            </w:r>
          </w:p>
        </w:tc>
      </w:tr>
      <w:tr w:rsidR="00B857F4">
        <w:tblPrEx>
          <w:tblCellMar>
            <w:top w:w="0" w:type="dxa"/>
            <w:bottom w:w="0" w:type="dxa"/>
          </w:tblCellMar>
        </w:tblPrEx>
        <w:tc>
          <w:tcPr>
            <w:tcW w:w="9072" w:type="dxa"/>
            <w:gridSpan w:val="2"/>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Technische Anforderungen</w:t>
            </w:r>
          </w:p>
        </w:tc>
      </w:tr>
      <w:tr w:rsidR="00B857F4" w:rsidRPr="00AF4C23">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Notwendige Software</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Pr="00A7658B" w:rsidRDefault="00A7658B">
            <w:pPr>
              <w:pStyle w:val="TableContents"/>
              <w:jc w:val="both"/>
              <w:rPr>
                <w:sz w:val="21"/>
                <w:lang w:val="en-US"/>
              </w:rPr>
            </w:pPr>
            <w:r w:rsidRPr="00A7658B">
              <w:rPr>
                <w:sz w:val="21"/>
                <w:lang w:val="en-US"/>
              </w:rPr>
              <w:t xml:space="preserve">- </w:t>
            </w:r>
            <w:r w:rsidR="00000000" w:rsidRPr="00A7658B">
              <w:rPr>
                <w:sz w:val="21"/>
                <w:lang w:val="en-US"/>
              </w:rPr>
              <w:t>Linux</w:t>
            </w:r>
            <w:r w:rsidRPr="00A7658B">
              <w:rPr>
                <w:sz w:val="21"/>
                <w:lang w:val="en-US"/>
              </w:rPr>
              <w:t xml:space="preserve"> </w:t>
            </w:r>
            <w:proofErr w:type="spellStart"/>
            <w:r w:rsidRPr="00A7658B">
              <w:rPr>
                <w:sz w:val="21"/>
                <w:lang w:val="en-US"/>
              </w:rPr>
              <w:t>oder</w:t>
            </w:r>
            <w:proofErr w:type="spellEnd"/>
            <w:r w:rsidRPr="00A7658B">
              <w:rPr>
                <w:sz w:val="21"/>
                <w:lang w:val="en-US"/>
              </w:rPr>
              <w:t xml:space="preserve"> </w:t>
            </w:r>
            <w:r w:rsidR="00000000" w:rsidRPr="00A7658B">
              <w:rPr>
                <w:sz w:val="21"/>
                <w:lang w:val="en-US"/>
              </w:rPr>
              <w:t>Windows</w:t>
            </w:r>
            <w:r w:rsidRPr="00A7658B">
              <w:rPr>
                <w:sz w:val="21"/>
                <w:lang w:val="en-US"/>
              </w:rPr>
              <w:t xml:space="preserve"> </w:t>
            </w:r>
            <w:proofErr w:type="spellStart"/>
            <w:r w:rsidRPr="00A7658B">
              <w:rPr>
                <w:sz w:val="21"/>
                <w:lang w:val="en-US"/>
              </w:rPr>
              <w:t>oder</w:t>
            </w:r>
            <w:proofErr w:type="spellEnd"/>
            <w:r w:rsidRPr="00A7658B">
              <w:rPr>
                <w:sz w:val="21"/>
                <w:lang w:val="en-US"/>
              </w:rPr>
              <w:t xml:space="preserve"> macOS</w:t>
            </w:r>
          </w:p>
          <w:p w:rsidR="00B857F4" w:rsidRPr="00A7658B" w:rsidRDefault="00A7658B">
            <w:pPr>
              <w:pStyle w:val="TableContents"/>
              <w:jc w:val="both"/>
              <w:rPr>
                <w:sz w:val="21"/>
                <w:lang w:val="en-US"/>
              </w:rPr>
            </w:pPr>
            <w:r w:rsidRPr="00A7658B">
              <w:rPr>
                <w:sz w:val="21"/>
                <w:lang w:val="en-US"/>
              </w:rPr>
              <w:t xml:space="preserve">- </w:t>
            </w:r>
            <w:r w:rsidR="00000000" w:rsidRPr="00A7658B">
              <w:rPr>
                <w:sz w:val="21"/>
                <w:lang w:val="en-US"/>
              </w:rPr>
              <w:t>Go</w:t>
            </w:r>
          </w:p>
          <w:p w:rsidR="00A7658B" w:rsidRDefault="00A7658B" w:rsidP="0082308C">
            <w:pPr>
              <w:pStyle w:val="TableContents"/>
              <w:jc w:val="both"/>
              <w:rPr>
                <w:sz w:val="21"/>
                <w:lang w:val="en-US"/>
              </w:rPr>
            </w:pPr>
            <w:r>
              <w:rPr>
                <w:sz w:val="21"/>
                <w:lang w:val="en-US"/>
              </w:rPr>
              <w:t xml:space="preserve">- Go interne </w:t>
            </w:r>
            <w:proofErr w:type="spellStart"/>
            <w:r w:rsidR="00000000" w:rsidRPr="00A7658B">
              <w:rPr>
                <w:sz w:val="21"/>
                <w:lang w:val="en-US"/>
              </w:rPr>
              <w:t>Pakete</w:t>
            </w:r>
            <w:proofErr w:type="spellEnd"/>
            <w:r w:rsidR="00000000" w:rsidRPr="00A7658B">
              <w:rPr>
                <w:sz w:val="21"/>
                <w:lang w:val="en-US"/>
              </w:rPr>
              <w:t>:</w:t>
            </w:r>
            <w:r w:rsidR="0082308C" w:rsidRPr="00A7658B">
              <w:rPr>
                <w:sz w:val="21"/>
                <w:lang w:val="en-US"/>
              </w:rPr>
              <w:t xml:space="preserve"> </w:t>
            </w:r>
            <w:proofErr w:type="spellStart"/>
            <w:r w:rsidRPr="00A7658B">
              <w:rPr>
                <w:sz w:val="21"/>
                <w:lang w:val="en-US"/>
              </w:rPr>
              <w:t>fmt</w:t>
            </w:r>
            <w:proofErr w:type="spellEnd"/>
            <w:r w:rsidRPr="00A7658B">
              <w:rPr>
                <w:sz w:val="21"/>
                <w:lang w:val="en-US"/>
              </w:rPr>
              <w:t xml:space="preserve">, </w:t>
            </w:r>
            <w:proofErr w:type="spellStart"/>
            <w:r w:rsidRPr="00A7658B">
              <w:rPr>
                <w:sz w:val="21"/>
                <w:lang w:val="en-US"/>
              </w:rPr>
              <w:t>os</w:t>
            </w:r>
            <w:proofErr w:type="spellEnd"/>
            <w:r w:rsidRPr="00A7658B">
              <w:rPr>
                <w:sz w:val="21"/>
                <w:lang w:val="en-US"/>
              </w:rPr>
              <w:t xml:space="preserve">, time, </w:t>
            </w:r>
            <w:proofErr w:type="spellStart"/>
            <w:r w:rsidR="0082308C" w:rsidRPr="00A7658B">
              <w:rPr>
                <w:sz w:val="21"/>
                <w:lang w:val="en-US"/>
              </w:rPr>
              <w:t>strconv</w:t>
            </w:r>
            <w:proofErr w:type="spellEnd"/>
            <w:r w:rsidR="0082308C" w:rsidRPr="00A7658B">
              <w:rPr>
                <w:sz w:val="21"/>
                <w:lang w:val="en-US"/>
              </w:rPr>
              <w:t>,</w:t>
            </w:r>
            <w:r w:rsidRPr="00A7658B">
              <w:rPr>
                <w:sz w:val="21"/>
                <w:lang w:val="en-US"/>
              </w:rPr>
              <w:t xml:space="preserve"> </w:t>
            </w:r>
            <w:r>
              <w:rPr>
                <w:sz w:val="21"/>
                <w:lang w:val="en-US"/>
              </w:rPr>
              <w:t>math/rand</w:t>
            </w:r>
          </w:p>
          <w:p w:rsidR="0082308C" w:rsidRPr="00AF4C23" w:rsidRDefault="00A7658B" w:rsidP="0082308C">
            <w:pPr>
              <w:pStyle w:val="TableContents"/>
              <w:jc w:val="both"/>
              <w:rPr>
                <w:sz w:val="21"/>
                <w:lang w:val="en-US"/>
              </w:rPr>
            </w:pPr>
            <w:r w:rsidRPr="00AF4C23">
              <w:rPr>
                <w:sz w:val="21"/>
                <w:lang w:val="en-US"/>
              </w:rPr>
              <w:t xml:space="preserve">- </w:t>
            </w:r>
            <w:proofErr w:type="spellStart"/>
            <w:r w:rsidRPr="00AF4C23">
              <w:rPr>
                <w:sz w:val="21"/>
                <w:lang w:val="en-US"/>
              </w:rPr>
              <w:t>frei</w:t>
            </w:r>
            <w:proofErr w:type="spellEnd"/>
            <w:r w:rsidRPr="00AF4C23">
              <w:rPr>
                <w:sz w:val="21"/>
                <w:lang w:val="en-US"/>
              </w:rPr>
              <w:t xml:space="preserve"> </w:t>
            </w:r>
            <w:proofErr w:type="spellStart"/>
            <w:r w:rsidRPr="00AF4C23">
              <w:rPr>
                <w:sz w:val="21"/>
                <w:lang w:val="en-US"/>
              </w:rPr>
              <w:t>verfügbare</w:t>
            </w:r>
            <w:proofErr w:type="spellEnd"/>
            <w:r w:rsidRPr="00AF4C23">
              <w:rPr>
                <w:sz w:val="21"/>
                <w:lang w:val="en-US"/>
              </w:rPr>
              <w:t xml:space="preserve"> </w:t>
            </w:r>
            <w:proofErr w:type="spellStart"/>
            <w:r w:rsidRPr="00AF4C23">
              <w:rPr>
                <w:sz w:val="21"/>
                <w:lang w:val="en-US"/>
              </w:rPr>
              <w:t>Pakete</w:t>
            </w:r>
            <w:proofErr w:type="spellEnd"/>
            <w:r w:rsidRPr="00AF4C23">
              <w:rPr>
                <w:sz w:val="21"/>
                <w:lang w:val="en-US"/>
              </w:rPr>
              <w:t>: git</w:t>
            </w:r>
            <w:r w:rsidR="00AF4C23" w:rsidRPr="00AF4C23">
              <w:rPr>
                <w:sz w:val="21"/>
                <w:lang w:val="en-US"/>
              </w:rPr>
              <w:t>h</w:t>
            </w:r>
            <w:r w:rsidRPr="00AF4C23">
              <w:rPr>
                <w:sz w:val="21"/>
                <w:lang w:val="en-US"/>
              </w:rPr>
              <w:t>ub.com/</w:t>
            </w:r>
            <w:proofErr w:type="spellStart"/>
            <w:r w:rsidRPr="00AF4C23">
              <w:rPr>
                <w:sz w:val="21"/>
                <w:lang w:val="en-US"/>
              </w:rPr>
              <w:t>faiface</w:t>
            </w:r>
            <w:proofErr w:type="spellEnd"/>
            <w:r w:rsidRPr="00AF4C23">
              <w:rPr>
                <w:sz w:val="21"/>
                <w:lang w:val="en-US"/>
              </w:rPr>
              <w:t>/beep,</w:t>
            </w:r>
            <w:r w:rsidR="00AF4C23" w:rsidRPr="00AF4C23">
              <w:rPr>
                <w:sz w:val="21"/>
                <w:lang w:val="en-US"/>
              </w:rPr>
              <w:t xml:space="preserve"> </w:t>
            </w:r>
            <w:r w:rsidR="0082308C" w:rsidRPr="00AF4C23">
              <w:rPr>
                <w:sz w:val="21"/>
                <w:lang w:val="en-US"/>
              </w:rPr>
              <w:t>fyne.io/</w:t>
            </w:r>
            <w:proofErr w:type="spellStart"/>
            <w:r w:rsidR="0082308C" w:rsidRPr="00AF4C23">
              <w:rPr>
                <w:sz w:val="21"/>
                <w:lang w:val="en-US"/>
              </w:rPr>
              <w:t>fyne</w:t>
            </w:r>
            <w:proofErr w:type="spellEnd"/>
            <w:r w:rsidR="0082308C" w:rsidRPr="00AF4C23">
              <w:rPr>
                <w:sz w:val="21"/>
                <w:lang w:val="en-US"/>
              </w:rPr>
              <w:t xml:space="preserve">/v2, </w:t>
            </w:r>
          </w:p>
          <w:p w:rsidR="00B857F4" w:rsidRPr="00AF4C23" w:rsidRDefault="00B857F4">
            <w:pPr>
              <w:pStyle w:val="TableContents"/>
              <w:jc w:val="both"/>
              <w:rPr>
                <w:sz w:val="21"/>
                <w:lang w:val="en-US"/>
              </w:rPr>
            </w:pP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Notwendige Hardware</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Pr="0082308C" w:rsidRDefault="00000000">
            <w:pPr>
              <w:pStyle w:val="TableContents"/>
              <w:jc w:val="both"/>
              <w:rPr>
                <w:sz w:val="21"/>
              </w:rPr>
            </w:pPr>
            <w:r>
              <w:rPr>
                <w:sz w:val="21"/>
              </w:rPr>
              <w:t xml:space="preserve">x86-PC, </w:t>
            </w:r>
            <w:r w:rsidRPr="0082308C">
              <w:rPr>
                <w:sz w:val="21"/>
              </w:rPr>
              <w:t>Bildschirm</w:t>
            </w:r>
            <w:r w:rsidR="0082308C">
              <w:rPr>
                <w:sz w:val="21"/>
              </w:rPr>
              <w:t>, Lautsprecher, Maus</w:t>
            </w:r>
          </w:p>
        </w:tc>
      </w:tr>
      <w:tr w:rsidR="00B857F4">
        <w:tblPrEx>
          <w:tblCellMar>
            <w:top w:w="0" w:type="dxa"/>
            <w:bottom w:w="0" w:type="dxa"/>
          </w:tblCellMar>
        </w:tblPrEx>
        <w:tc>
          <w:tcPr>
            <w:tcW w:w="2099" w:type="dxa"/>
            <w:tcBorders>
              <w:left w:val="single" w:sz="2" w:space="0" w:color="000000"/>
              <w:bottom w:val="single" w:sz="2" w:space="0" w:color="000000"/>
            </w:tcBorders>
            <w:shd w:val="clear" w:color="auto" w:fill="DDDDDD"/>
            <w:tcMar>
              <w:top w:w="55" w:type="dxa"/>
              <w:left w:w="55" w:type="dxa"/>
              <w:bottom w:w="55" w:type="dxa"/>
              <w:right w:w="55" w:type="dxa"/>
            </w:tcMar>
          </w:tcPr>
          <w:p w:rsidR="00B857F4" w:rsidRDefault="00000000">
            <w:pPr>
              <w:pStyle w:val="TableContents"/>
              <w:jc w:val="both"/>
              <w:rPr>
                <w:b/>
                <w:bCs/>
                <w:sz w:val="21"/>
              </w:rPr>
            </w:pPr>
            <w:r>
              <w:rPr>
                <w:b/>
                <w:bCs/>
                <w:sz w:val="21"/>
              </w:rPr>
              <w:t>Produkt</w:t>
            </w:r>
            <w:r>
              <w:rPr>
                <w:b/>
                <w:bCs/>
                <w:sz w:val="21"/>
              </w:rPr>
              <w:softHyphen/>
              <w:t>schnittstellen</w:t>
            </w:r>
          </w:p>
        </w:tc>
        <w:tc>
          <w:tcPr>
            <w:tcW w:w="6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B857F4" w:rsidRDefault="00000000">
            <w:pPr>
              <w:pStyle w:val="TableContents"/>
              <w:jc w:val="both"/>
              <w:rPr>
                <w:sz w:val="21"/>
              </w:rPr>
            </w:pPr>
            <w:r>
              <w:rPr>
                <w:sz w:val="21"/>
              </w:rPr>
              <w:t>keine</w:t>
            </w:r>
          </w:p>
        </w:tc>
      </w:tr>
    </w:tbl>
    <w:p w:rsidR="00B857F4" w:rsidRDefault="00B857F4">
      <w:pPr>
        <w:pStyle w:val="ABAbsatznormal"/>
      </w:pPr>
    </w:p>
    <w:sectPr w:rsidR="00B857F4">
      <w:pgSz w:w="11906" w:h="16838"/>
      <w:pgMar w:top="907" w:right="1417"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3A3B" w:rsidRDefault="00E73A3B">
      <w:r>
        <w:separator/>
      </w:r>
    </w:p>
  </w:endnote>
  <w:endnote w:type="continuationSeparator" w:id="0">
    <w:p w:rsidR="00E73A3B" w:rsidRDefault="00E7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2"/>
    <w:family w:val="auto"/>
    <w:pitch w:val="default"/>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SenBJ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3A3B" w:rsidRDefault="00E73A3B">
      <w:r>
        <w:rPr>
          <w:color w:val="000000"/>
        </w:rPr>
        <w:separator/>
      </w:r>
    </w:p>
  </w:footnote>
  <w:footnote w:type="continuationSeparator" w:id="0">
    <w:p w:rsidR="00E73A3B" w:rsidRDefault="00E73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70EF"/>
    <w:multiLevelType w:val="multilevel"/>
    <w:tmpl w:val="C2B0744E"/>
    <w:styleLink w:val="ABSymbole1"/>
    <w:lvl w:ilvl="0">
      <w:numFmt w:val="bullet"/>
      <w:lvlText w:val="•"/>
      <w:lvlJc w:val="left"/>
      <w:pPr>
        <w:ind w:left="227" w:hanging="227"/>
      </w:pPr>
      <w:rPr>
        <w:rFonts w:ascii="OpenSymbol" w:eastAsia="OpenSymbol" w:hAnsi="OpenSymbol" w:cs="OpenSymbol"/>
      </w:rPr>
    </w:lvl>
    <w:lvl w:ilvl="1">
      <w:numFmt w:val="bullet"/>
      <w:lvlText w:val="━"/>
      <w:lvlJc w:val="left"/>
      <w:pPr>
        <w:ind w:left="454" w:hanging="227"/>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F981EE7"/>
    <w:multiLevelType w:val="multilevel"/>
    <w:tmpl w:val="884AFA92"/>
    <w:styleLink w:val="ABAufzhlung1"/>
    <w:lvl w:ilvl="0">
      <w:start w:val="1"/>
      <w:numFmt w:val="decimal"/>
      <w:lvlText w:val="%1)"/>
      <w:lvlJc w:val="left"/>
      <w:pPr>
        <w:ind w:left="340" w:hanging="340"/>
      </w:pPr>
    </w:lvl>
    <w:lvl w:ilvl="1">
      <w:start w:val="1"/>
      <w:numFmt w:val="lowerLetter"/>
      <w:lvlText w:val="%2)"/>
      <w:lvlJc w:val="left"/>
      <w:pPr>
        <w:ind w:left="680" w:hanging="340"/>
      </w:pPr>
    </w:lvl>
    <w:lvl w:ilvl="2">
      <w:start w:val="1"/>
      <w:numFmt w:val="lowerRoman"/>
      <w:lvlText w:val="(%3)"/>
      <w:lvlJc w:val="left"/>
      <w:pPr>
        <w:ind w:left="1020" w:hanging="340"/>
      </w:pPr>
    </w:lvl>
    <w:lvl w:ilvl="3">
      <w:start w:val="1"/>
      <w:numFmt w:val="lowerRoman"/>
      <w:lvlText w:val="(%4)"/>
      <w:lvlJc w:val="left"/>
      <w:pPr>
        <w:ind w:left="1800" w:hanging="1800"/>
      </w:pPr>
    </w:lvl>
    <w:lvl w:ilvl="4">
      <w:start w:val="1"/>
      <w:numFmt w:val="lowerRoman"/>
      <w:lvlText w:val="(%5)"/>
      <w:lvlJc w:val="left"/>
      <w:pPr>
        <w:ind w:left="2160" w:hanging="2160"/>
      </w:pPr>
    </w:lvl>
    <w:lvl w:ilvl="5">
      <w:start w:val="1"/>
      <w:numFmt w:val="lowerRoman"/>
      <w:lvlText w:val="(%6)"/>
      <w:lvlJc w:val="left"/>
      <w:pPr>
        <w:ind w:left="2520" w:hanging="2520"/>
      </w:pPr>
    </w:lvl>
    <w:lvl w:ilvl="6">
      <w:start w:val="1"/>
      <w:numFmt w:val="lowerRoman"/>
      <w:lvlText w:val="(%7)"/>
      <w:lvlJc w:val="left"/>
      <w:pPr>
        <w:ind w:left="2880" w:hanging="2880"/>
      </w:pPr>
    </w:lvl>
    <w:lvl w:ilvl="7">
      <w:start w:val="1"/>
      <w:numFmt w:val="lowerRoman"/>
      <w:lvlText w:val="(%8)"/>
      <w:lvlJc w:val="left"/>
      <w:pPr>
        <w:ind w:left="3240" w:hanging="3240"/>
      </w:pPr>
    </w:lvl>
    <w:lvl w:ilvl="8">
      <w:start w:val="1"/>
      <w:numFmt w:val="lowerRoman"/>
      <w:lvlText w:val="(%9)"/>
      <w:lvlJc w:val="left"/>
      <w:pPr>
        <w:ind w:left="3600" w:hanging="3600"/>
      </w:pPr>
    </w:lvl>
  </w:abstractNum>
  <w:abstractNum w:abstractNumId="2" w15:restartNumberingAfterBreak="0">
    <w:nsid w:val="3C7773A8"/>
    <w:multiLevelType w:val="multilevel"/>
    <w:tmpl w:val="85F48052"/>
    <w:styleLink w:val="ABAufzhlung2"/>
    <w:lvl w:ilvl="0">
      <w:start w:val="1"/>
      <w:numFmt w:val="lowerLetter"/>
      <w:lvlText w:val="%1)"/>
      <w:lvlJc w:val="left"/>
      <w:pPr>
        <w:ind w:left="340" w:hanging="340"/>
      </w:pPr>
    </w:lvl>
    <w:lvl w:ilvl="1">
      <w:start w:val="1"/>
      <w:numFmt w:val="lowerLetter"/>
      <w:lvlText w:val="%2)"/>
      <w:lvlJc w:val="left"/>
      <w:pPr>
        <w:ind w:left="680" w:hanging="340"/>
      </w:pPr>
    </w:lvl>
    <w:lvl w:ilvl="2">
      <w:start w:val="1"/>
      <w:numFmt w:val="lowerLetter"/>
      <w:lvlText w:val="%3)"/>
      <w:lvlJc w:val="left"/>
      <w:pPr>
        <w:ind w:left="1020" w:hanging="34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16cid:durableId="773521829">
    <w:abstractNumId w:val="1"/>
  </w:num>
  <w:num w:numId="2" w16cid:durableId="425619023">
    <w:abstractNumId w:val="2"/>
  </w:num>
  <w:num w:numId="3" w16cid:durableId="65523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857F4"/>
    <w:rsid w:val="00011E86"/>
    <w:rsid w:val="006F2D52"/>
    <w:rsid w:val="0082308C"/>
    <w:rsid w:val="00A7658B"/>
    <w:rsid w:val="00AF4C23"/>
    <w:rsid w:val="00B857F4"/>
    <w:rsid w:val="00C97F9D"/>
    <w:rsid w:val="00E73A3B"/>
    <w:rsid w:val="00F1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3E6F34"/>
  <w15:docId w15:val="{0CBE47F0-5609-C749-B173-5845679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rPr>
      <w:sz w:val="24"/>
    </w:rPr>
  </w:style>
  <w:style w:type="paragraph" w:styleId="Beschriftung">
    <w:name w:val="caption"/>
    <w:basedOn w:val="Standard"/>
    <w:pPr>
      <w:suppressLineNumbers/>
      <w:spacing w:before="120" w:after="120"/>
    </w:pPr>
    <w:rPr>
      <w:rFonts w:ascii="SenBJS" w:eastAsia="SenBJS" w:hAnsi="SenBJS"/>
      <w:i/>
      <w:iCs/>
      <w:sz w:val="24"/>
    </w:rPr>
  </w:style>
  <w:style w:type="paragraph" w:customStyle="1" w:styleId="Index">
    <w:name w:val="Index"/>
    <w:basedOn w:val="Standard"/>
    <w:pPr>
      <w:suppressLineNumbers/>
    </w:pPr>
    <w:rPr>
      <w:sz w:val="24"/>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ABAbsatznormal">
    <w:name w:val="AB_Absatz_normal"/>
    <w:basedOn w:val="Standard"/>
    <w:pPr>
      <w:spacing w:after="57"/>
      <w:jc w:val="both"/>
    </w:pPr>
  </w:style>
  <w:style w:type="paragraph" w:customStyle="1" w:styleId="ABAbsatzeingerckt">
    <w:name w:val="AB_Absatz_eingerückt"/>
    <w:basedOn w:val="ABAbsatznormal"/>
    <w:next w:val="ABAbsatznormal"/>
    <w:pPr>
      <w:tabs>
        <w:tab w:val="left" w:pos="908"/>
      </w:tabs>
      <w:ind w:left="454"/>
    </w:pPr>
  </w:style>
  <w:style w:type="paragraph" w:customStyle="1" w:styleId="ABAbsatzeingerckt2">
    <w:name w:val="AB_Absatz_eingerückt2"/>
    <w:basedOn w:val="ABAbsatzeingerckt"/>
    <w:next w:val="ABAbsatznormal"/>
    <w:pPr>
      <w:tabs>
        <w:tab w:val="clear" w:pos="908"/>
        <w:tab w:val="left" w:pos="1700"/>
      </w:tabs>
      <w:ind w:left="850" w:hanging="850"/>
    </w:pPr>
  </w:style>
  <w:style w:type="paragraph" w:customStyle="1" w:styleId="ABberschrift1">
    <w:name w:val="AB_Überschrift1"/>
    <w:basedOn w:val="ABAbsatznormal"/>
    <w:next w:val="ABAbsatznormal"/>
    <w:pPr>
      <w:jc w:val="center"/>
    </w:pPr>
    <w:rPr>
      <w:b/>
      <w:sz w:val="21"/>
      <w:u w:val="single"/>
    </w:rPr>
  </w:style>
  <w:style w:type="paragraph" w:customStyle="1" w:styleId="ABberschrift2">
    <w:name w:val="AB_Überschrift2"/>
    <w:basedOn w:val="ABAbsatznormal"/>
    <w:next w:val="ABAbsatznormal"/>
    <w:pPr>
      <w:spacing w:before="170"/>
      <w:jc w:val="left"/>
    </w:pPr>
    <w:rPr>
      <w:b/>
      <w:sz w:val="21"/>
    </w:rPr>
  </w:style>
  <w:style w:type="paragraph" w:customStyle="1" w:styleId="ABAbsatzAbstand">
    <w:name w:val="AB_Absatz_Abstand"/>
    <w:basedOn w:val="ABAbsatznormal"/>
    <w:next w:val="ABAbsatznormal"/>
    <w:pPr>
      <w:spacing w:after="170"/>
    </w:pPr>
  </w:style>
  <w:style w:type="paragraph" w:customStyle="1" w:styleId="ABLckentext">
    <w:name w:val="AB_Lückentext"/>
    <w:basedOn w:val="ABAbsatznormal"/>
    <w:pPr>
      <w:spacing w:line="360" w:lineRule="auto"/>
    </w:pPr>
  </w:style>
  <w:style w:type="paragraph" w:customStyle="1" w:styleId="Framecontents">
    <w:name w:val="Frame contents"/>
    <w:basedOn w:val="Standard"/>
  </w:style>
  <w:style w:type="paragraph" w:customStyle="1" w:styleId="ABberschrift3">
    <w:name w:val="AB_Überschrift3"/>
    <w:basedOn w:val="ABberschrift2"/>
    <w:next w:val="ABAbsatznormal"/>
    <w:rPr>
      <w:b w:val="0"/>
      <w:u w:val="single"/>
    </w:rPr>
  </w:style>
  <w:style w:type="paragraph" w:customStyle="1" w:styleId="ABberschrift2ohne">
    <w:name w:val="AB_Überschrift2_ohne"/>
    <w:basedOn w:val="ABberschrift2"/>
    <w:next w:val="ABAbsatznormal"/>
    <w:pPr>
      <w:spacing w:before="0"/>
    </w:pPr>
  </w:style>
  <w:style w:type="character" w:customStyle="1" w:styleId="NumberingSymbols">
    <w:name w:val="Numbering Symbols"/>
  </w:style>
  <w:style w:type="character" w:customStyle="1" w:styleId="Lckentext">
    <w:name w:val="Lückentext"/>
    <w:rPr>
      <w:rFonts w:ascii="Liberation Sans" w:eastAsia="Liberation Sans" w:hAnsi="Liberation Sans" w:cs="Liberation Sans"/>
      <w:color w:val="EEEEEE"/>
      <w:spacing w:val="80"/>
      <w:sz w:val="21"/>
      <w:u w:val="single" w:color="000000"/>
    </w:rPr>
  </w:style>
  <w:style w:type="character" w:customStyle="1" w:styleId="ABNormal">
    <w:name w:val="AB_Normal"/>
    <w:rPr>
      <w:rFonts w:ascii="Arial" w:eastAsia="Arial" w:hAnsi="Arial" w:cs="Arial"/>
      <w:color w:val="000000"/>
      <w:sz w:val="22"/>
    </w:rPr>
  </w:style>
  <w:style w:type="character" w:customStyle="1" w:styleId="BulletSymbols">
    <w:name w:val="Bullet Symbols"/>
    <w:rPr>
      <w:rFonts w:ascii="OpenSymbol" w:eastAsia="OpenSymbol" w:hAnsi="OpenSymbol" w:cs="OpenSymbol"/>
    </w:rPr>
  </w:style>
  <w:style w:type="numbering" w:customStyle="1" w:styleId="ABAufzhlung1">
    <w:name w:val="AB_Aufzählung1"/>
    <w:basedOn w:val="KeineListe"/>
    <w:pPr>
      <w:numPr>
        <w:numId w:val="1"/>
      </w:numPr>
    </w:pPr>
  </w:style>
  <w:style w:type="numbering" w:customStyle="1" w:styleId="ABAufzhlung2">
    <w:name w:val="AB_Aufzählung2"/>
    <w:basedOn w:val="KeineListe"/>
    <w:pPr>
      <w:numPr>
        <w:numId w:val="2"/>
      </w:numPr>
    </w:pPr>
  </w:style>
  <w:style w:type="numbering" w:customStyle="1" w:styleId="ABSymbole1">
    <w:name w:val="AB_Symbole1"/>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Baustein/formular/formular/Formular_LO_FM/FM_LO/AB_A4_Kopf.ot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AB_A4_Kopf.ott</Template>
  <TotalTime>0</TotalTime>
  <Pages>1</Pages>
  <Words>401</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AB_A4_Kopf</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AB_A4_Kopf</dc:title>
  <cp:lastModifiedBy>Susanna Beerheide</cp:lastModifiedBy>
  <cp:revision>2</cp:revision>
  <cp:lastPrinted>2023-06-05T08:52:00Z</cp:lastPrinted>
  <dcterms:created xsi:type="dcterms:W3CDTF">2023-06-05T08:53:00Z</dcterms:created>
  <dcterms:modified xsi:type="dcterms:W3CDTF">2023-06-05T08:53:00Z</dcterms:modified>
</cp:coreProperties>
</file>