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62" w:rsidRPr="00704262" w:rsidRDefault="00704262" w:rsidP="00704262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704262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Unconscious language lear</w:t>
      </w:r>
      <w:bookmarkStart w:id="0" w:name="_GoBack"/>
      <w:bookmarkEnd w:id="0"/>
      <w:r w:rsidRPr="00704262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ning </w:t>
      </w:r>
    </w:p>
    <w:p w:rsidR="00704262" w:rsidRPr="00704262" w:rsidRDefault="00704262" w:rsidP="00704262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704262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Unconscious learning could be the secret to speeding up learning a second language. 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When linguists talk about unconscious or implicit language learning, they don’t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mean learning while you sleep.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Rather, they are talking about one of the most intriguing of all mental phenomena: the ability to learn the complex and subtle regularities that underlie a language without even realising.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For children, such ‘implicit’ language learning seems to happen spontaneously in the first few years of life; yet, in adulthood, learning a second language is generally far from effortless and has varied success.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So marked is the difference between first- and second-language learning – at least when it takes the form of classroom learning – it might suggest that implicit learning makes no significant contribution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to learning a second language.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 it may indicate that typical foreign language teaching doesn’t take full advantage of the process.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challenge that faces linguists is how to test whether imp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licit learning is taking place.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How can you differentiate between a person consciously recognising a certain pattern or rule in the language they are learning and the same person unconsciously knowing that something sounds right simply because their brain has judged it to be right?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new approach to solving the puzzle taken by Dr John Williams at the Department of Theoretical and Applied Linguistics and his collaborator, Dr </w:t>
      </w:r>
      <w:proofErr w:type="spellStart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Janny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Leung from the University of Hong Kong, has been to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invent an artificial language.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Participants were tested to see whether they correctly acquired, over periods as short as one hour, an understanding of patterns embedded within the artificial language.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An example of their technique is to teach participants four novel forms of the word ‘the’ (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gi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,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ro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,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ul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</w:t>
      </w:r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ne</w:t>
      </w: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), telling them that the forms encode a certain meaningful dimension (e.g.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gi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ro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should be used for describing near objects,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ul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</w:t>
      </w:r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ne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for far objects).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aim is to see if the participants can spontaneously pick up a correlation with another, hidden, meaning (e.g. that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gi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ul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should be used with animate nouns and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ro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</w:t>
      </w:r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ne</w:t>
      </w: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with i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nanimate nouns).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novel forms are embedded in English phrases such as ‘I was terrified when I turned around and saw </w:t>
      </w:r>
      <w:proofErr w:type="spellStart"/>
      <w:r w:rsidRPr="00704262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gi</w:t>
      </w:r>
      <w:proofErr w:type="spell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lion right behind me’.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>Do they pick up on the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concealed pattern when tested?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“The answer is yes,” said Dr Williams, whose research was funded by the Econom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ic and Social Research Council.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“We found significantly above-chance selection of sentence constructions that were ‘grammatically correct’ a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ccording to the hidden pattern.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Yet, the participants had no awareness of what they had learned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or how.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Moreover, we were able to show learning of the same material by native speakers of two typologically very different languages, English and Cantonese.”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Interestingly, picking up the hidden pattern unconsciously doesn’t always happen – if, for instance, the hidden pattern is linguistically unnatural, such as a correlation with whether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an object makes a sound or not.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“One explanation could be that certain patterns are more accessible to language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learning processes than others.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Perhaps our brains are built equipped to expect certain patterns, or perhaps they process some </w:t>
      </w:r>
      <w:proofErr w:type="gramStart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patterns</w:t>
      </w:r>
      <w:proofErr w:type="gram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better than others,” he added.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research provides a window onto unconscious learning processes in the mind and highlights an important element that has practical implication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 for language teaching.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In each test, the learner’s attention was directed to the part of the sentence that contained the hidden pattern. </w:t>
      </w:r>
    </w:p>
    <w:p w:rsidR="00704262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By directing attention, it seems that other elements of the sentence construction are picked up unconsciously.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“In a teaching situation, merely teaching the rules of a language may not be the only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answer,” explained Dr Williams.</w:t>
      </w:r>
    </w:p>
    <w:p w:rsid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“Instead, using tasks that focus attention on the relevant grammatical forms in language could help </w:t>
      </w:r>
      <w:proofErr w:type="gramStart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learners</w:t>
      </w:r>
      <w:proofErr w:type="gramEnd"/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access unconscious learning pathway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 in the brain.</w:t>
      </w:r>
    </w:p>
    <w:p w:rsidR="00301734" w:rsidRPr="00704262" w:rsidRDefault="00704262" w:rsidP="0070426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70426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This would greatly enhance the speed of acquisition of a second language.”</w:t>
      </w:r>
    </w:p>
    <w:sectPr w:rsidR="00301734" w:rsidRPr="007042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262" w:rsidRDefault="00704262" w:rsidP="00704262">
      <w:pPr>
        <w:spacing w:after="0" w:line="240" w:lineRule="auto"/>
      </w:pPr>
      <w:r>
        <w:separator/>
      </w:r>
    </w:p>
  </w:endnote>
  <w:endnote w:type="continuationSeparator" w:id="0">
    <w:p w:rsidR="00704262" w:rsidRDefault="00704262" w:rsidP="0070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62" w:rsidRDefault="00704262" w:rsidP="00704262">
      <w:pPr>
        <w:spacing w:after="0" w:line="240" w:lineRule="auto"/>
      </w:pPr>
      <w:r>
        <w:separator/>
      </w:r>
    </w:p>
  </w:footnote>
  <w:footnote w:type="continuationSeparator" w:id="0">
    <w:p w:rsidR="00704262" w:rsidRDefault="00704262" w:rsidP="0070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262" w:rsidRDefault="00704262">
    <w:pPr>
      <w:pStyle w:val="Header"/>
    </w:pPr>
    <w:r>
      <w:t>Title: 3</w:t>
    </w:r>
  </w:p>
  <w:p w:rsidR="00704262" w:rsidRDefault="00704262">
    <w:pPr>
      <w:pStyle w:val="Header"/>
    </w:pPr>
    <w:r>
      <w:t>Body: 634</w:t>
    </w:r>
  </w:p>
  <w:p w:rsidR="00704262" w:rsidRDefault="00704262">
    <w:pPr>
      <w:pStyle w:val="Header"/>
    </w:pPr>
    <w:r>
      <w:t>Sentences: 28</w:t>
    </w:r>
  </w:p>
  <w:p w:rsidR="00704262" w:rsidRDefault="00704262">
    <w:pPr>
      <w:pStyle w:val="Header"/>
    </w:pPr>
    <w:r>
      <w:t>Published: 03/11/2011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5115"/>
    <w:multiLevelType w:val="multilevel"/>
    <w:tmpl w:val="B56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C55B7"/>
    <w:multiLevelType w:val="multilevel"/>
    <w:tmpl w:val="1D5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145E0"/>
    <w:multiLevelType w:val="multilevel"/>
    <w:tmpl w:val="BD5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A53A7"/>
    <w:multiLevelType w:val="multilevel"/>
    <w:tmpl w:val="D8A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B6621"/>
    <w:multiLevelType w:val="multilevel"/>
    <w:tmpl w:val="B19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B0DD7"/>
    <w:multiLevelType w:val="multilevel"/>
    <w:tmpl w:val="4D2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B942E3"/>
    <w:multiLevelType w:val="multilevel"/>
    <w:tmpl w:val="827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62"/>
    <w:rsid w:val="002C2048"/>
    <w:rsid w:val="00704262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262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04262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4262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04262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62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04262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4262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4262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04262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04262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70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042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62"/>
  </w:style>
  <w:style w:type="paragraph" w:styleId="Footer">
    <w:name w:val="footer"/>
    <w:basedOn w:val="Normal"/>
    <w:link w:val="FooterChar"/>
    <w:uiPriority w:val="99"/>
    <w:unhideWhenUsed/>
    <w:rsid w:val="007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262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04262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4262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04262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62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04262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4262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4262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04262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04262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70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042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62"/>
  </w:style>
  <w:style w:type="paragraph" w:styleId="Footer">
    <w:name w:val="footer"/>
    <w:basedOn w:val="Normal"/>
    <w:link w:val="FooterChar"/>
    <w:uiPriority w:val="99"/>
    <w:unhideWhenUsed/>
    <w:rsid w:val="007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1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7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00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555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604</Words>
  <Characters>3444</Characters>
  <Application>Microsoft Office Word</Application>
  <DocSecurity>0</DocSecurity>
  <Lines>28</Lines>
  <Paragraphs>8</Paragraphs>
  <ScaleCrop>false</ScaleCrop>
  <Company>Cardiff University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2012-12-04T11:42:00Z</dcterms:created>
  <dcterms:modified xsi:type="dcterms:W3CDTF">2012-12-04T11:48:00Z</dcterms:modified>
</cp:coreProperties>
</file>