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CB2" w:rsidRPr="00AC0CB2" w:rsidRDefault="00AC0CB2" w:rsidP="00AC0CB2">
      <w:pPr>
        <w:pBdr>
          <w:bottom w:val="single" w:sz="4" w:space="2" w:color="CCCCCC"/>
        </w:pBdr>
        <w:spacing w:before="100" w:beforeAutospacing="1" w:after="138" w:line="331" w:lineRule="auto"/>
        <w:outlineLvl w:val="2"/>
        <w:rPr>
          <w:rFonts w:ascii="Verdana" w:eastAsia="Times New Roman" w:hAnsi="Verdana" w:cs="Arial"/>
          <w:color w:val="004781"/>
          <w:sz w:val="24"/>
          <w:szCs w:val="24"/>
          <w:lang w:eastAsia="en-GB"/>
        </w:rPr>
      </w:pPr>
      <w:r>
        <w:rPr>
          <w:rFonts w:ascii="Verdana" w:eastAsia="Times New Roman" w:hAnsi="Verdana" w:cs="Arial"/>
          <w:noProof/>
          <w:color w:val="004781"/>
          <w:sz w:val="24"/>
          <w:szCs w:val="24"/>
          <w:lang w:eastAsia="en-GB"/>
        </w:rPr>
        <w:drawing>
          <wp:inline distT="0" distB="0" distL="0" distR="0">
            <wp:extent cx="951230" cy="1141095"/>
            <wp:effectExtent l="19050" t="0" r="1270" b="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4" cstate="print"/>
                    <a:srcRect/>
                    <a:stretch>
                      <a:fillRect/>
                    </a:stretch>
                  </pic:blipFill>
                  <pic:spPr bwMode="auto">
                    <a:xfrm>
                      <a:off x="0" y="0"/>
                      <a:ext cx="951230" cy="1141095"/>
                    </a:xfrm>
                    <a:prstGeom prst="rect">
                      <a:avLst/>
                    </a:prstGeom>
                    <a:noFill/>
                    <a:ln w="9525">
                      <a:noFill/>
                      <a:miter lim="800000"/>
                      <a:headEnd/>
                      <a:tailEnd/>
                    </a:ln>
                  </pic:spPr>
                </pic:pic>
              </a:graphicData>
            </a:graphic>
          </wp:inline>
        </w:drawing>
      </w:r>
      <w:r w:rsidRPr="00AC0CB2">
        <w:rPr>
          <w:rFonts w:ascii="Verdana" w:eastAsia="Times New Roman" w:hAnsi="Verdana" w:cs="Arial"/>
          <w:color w:val="004781"/>
          <w:sz w:val="24"/>
          <w:szCs w:val="24"/>
          <w:lang w:eastAsia="en-GB"/>
        </w:rPr>
        <w:t>Consortium finds chronic liver cirrhosis clues</w:t>
      </w:r>
    </w:p>
    <w:p w:rsidR="00AC0CB2" w:rsidRDefault="00AC0CB2" w:rsidP="00AC0CB2">
      <w:pPr>
        <w:spacing w:line="336" w:lineRule="auto"/>
        <w:rPr>
          <w:rFonts w:ascii="Verdana" w:eastAsia="Times New Roman" w:hAnsi="Verdana" w:cs="Arial"/>
          <w:b/>
          <w:bCs/>
          <w:color w:val="000000"/>
          <w:sz w:val="16"/>
          <w:lang w:eastAsia="en-GB"/>
        </w:rPr>
      </w:pPr>
      <w:r>
        <w:rPr>
          <w:rFonts w:ascii="Verdana" w:eastAsia="Times New Roman" w:hAnsi="Verdana" w:cs="Arial"/>
          <w:b/>
          <w:bCs/>
          <w:color w:val="000000"/>
          <w:sz w:val="16"/>
          <w:lang w:eastAsia="en-GB"/>
        </w:rPr>
        <w:t>Words – 816</w:t>
      </w:r>
    </w:p>
    <w:p w:rsidR="00AC0CB2" w:rsidRDefault="00AC0CB2" w:rsidP="00AC0CB2">
      <w:pPr>
        <w:spacing w:line="336" w:lineRule="auto"/>
        <w:rPr>
          <w:rFonts w:ascii="Verdana" w:eastAsia="Times New Roman" w:hAnsi="Verdana" w:cs="Arial"/>
          <w:b/>
          <w:bCs/>
          <w:color w:val="000000"/>
          <w:sz w:val="16"/>
          <w:lang w:eastAsia="en-GB"/>
        </w:rPr>
      </w:pPr>
      <w:r>
        <w:rPr>
          <w:rFonts w:ascii="Verdana" w:eastAsia="Times New Roman" w:hAnsi="Verdana" w:cs="Arial"/>
          <w:b/>
          <w:bCs/>
          <w:color w:val="000000"/>
          <w:sz w:val="16"/>
          <w:lang w:eastAsia="en-GB"/>
        </w:rPr>
        <w:t>Sentences - 24</w:t>
      </w:r>
    </w:p>
    <w:p w:rsidR="00AC0CB2" w:rsidRPr="00AC0CB2" w:rsidRDefault="00AC0CB2" w:rsidP="00AC0CB2">
      <w:pPr>
        <w:spacing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Researchers have provided new clues into the genetics underlying a chronic form of liver disease, called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which can lead to transplant surgery for patients.</w:t>
      </w:r>
    </w:p>
    <w:p w:rsid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The study was based on the genomes of 2,500 patients with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and more than 7,500 apparently healthy people. </w:t>
      </w:r>
    </w:p>
    <w:p w:rsid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The results are the first to emerge from the </w:t>
      </w:r>
      <w:proofErr w:type="spellStart"/>
      <w:r w:rsidRPr="00AC0CB2">
        <w:rPr>
          <w:rFonts w:ascii="Verdana" w:eastAsia="Times New Roman" w:hAnsi="Verdana" w:cs="Arial"/>
          <w:color w:val="000000"/>
          <w:sz w:val="16"/>
          <w:szCs w:val="16"/>
          <w:lang w:eastAsia="en-GB"/>
        </w:rPr>
        <w:t>Wellcome</w:t>
      </w:r>
      <w:proofErr w:type="spellEnd"/>
      <w:r w:rsidRPr="00AC0CB2">
        <w:rPr>
          <w:rFonts w:ascii="Verdana" w:eastAsia="Times New Roman" w:hAnsi="Verdana" w:cs="Arial"/>
          <w:color w:val="000000"/>
          <w:sz w:val="16"/>
          <w:szCs w:val="16"/>
          <w:lang w:eastAsia="en-GB"/>
        </w:rPr>
        <w:t xml:space="preserve"> Trust Case Control Consortium 3 (</w:t>
      </w:r>
      <w:hyperlink r:id="rId5" w:history="1">
        <w:r w:rsidRPr="00AC0CB2">
          <w:rPr>
            <w:rFonts w:ascii="Times New Roman" w:eastAsia="Times New Roman" w:hAnsi="Times New Roman" w:cs="Arial"/>
            <w:color w:val="015A9E"/>
            <w:sz w:val="16"/>
            <w:u w:val="single"/>
            <w:lang w:eastAsia="en-GB"/>
          </w:rPr>
          <w:t>WTCCC3</w:t>
        </w:r>
      </w:hyperlink>
      <w:r w:rsidRPr="00AC0CB2">
        <w:rPr>
          <w:rFonts w:ascii="Verdana" w:eastAsia="Times New Roman" w:hAnsi="Verdana" w:cs="Arial"/>
          <w:color w:val="000000"/>
          <w:sz w:val="16"/>
          <w:szCs w:val="16"/>
          <w:lang w:eastAsia="en-GB"/>
        </w:rPr>
        <w:t xml:space="preserve">) project, a collaboration of UK scientists and clinicians, including those in Newcastle University’s Institute of Cellular Medicine and Institute of Human Genetics – now the Institute of Genetic Medicine. </w:t>
      </w:r>
      <w:r w:rsidRPr="00AC0CB2">
        <w:rPr>
          <w:rFonts w:ascii="Verdana" w:eastAsia="Times New Roman" w:hAnsi="Verdana" w:cs="Arial"/>
          <w:color w:val="000000"/>
          <w:sz w:val="16"/>
          <w:szCs w:val="16"/>
          <w:lang w:eastAsia="en-GB"/>
        </w:rPr>
        <w:br/>
      </w:r>
      <w:r w:rsidRPr="00AC0CB2">
        <w:rPr>
          <w:rFonts w:ascii="Verdana" w:eastAsia="Times New Roman" w:hAnsi="Verdana" w:cs="Arial"/>
          <w:color w:val="000000"/>
          <w:sz w:val="16"/>
          <w:szCs w:val="16"/>
          <w:lang w:eastAsia="en-GB"/>
        </w:rPr>
        <w:br/>
        <w:t xml:space="preserve">The project aims to unravel the role of genetic variation in several human diseases and these findings suggest that several key immune processes underlie susceptibility to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(PBC). </w:t>
      </w:r>
      <w:r w:rsidRPr="00AC0CB2">
        <w:rPr>
          <w:rFonts w:ascii="Verdana" w:eastAsia="Times New Roman" w:hAnsi="Verdana" w:cs="Arial"/>
          <w:color w:val="000000"/>
          <w:sz w:val="16"/>
          <w:szCs w:val="16"/>
          <w:lang w:eastAsia="en-GB"/>
        </w:rPr>
        <w:br/>
      </w:r>
      <w:r w:rsidRPr="00AC0CB2">
        <w:rPr>
          <w:rFonts w:ascii="Verdana" w:eastAsia="Times New Roman" w:hAnsi="Verdana" w:cs="Arial"/>
          <w:color w:val="000000"/>
          <w:sz w:val="16"/>
          <w:szCs w:val="16"/>
          <w:lang w:eastAsia="en-GB"/>
        </w:rPr>
        <w:br/>
        <w:t xml:space="preserve">Patients with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suffer irritation and swelling of the bile ducts of the liver - blocking the flow of bile, which normally aids digestion. The obstruction damages liver cells and leads to scarring, known as cirrhosis. </w:t>
      </w:r>
    </w:p>
    <w:p w:rsid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is thought to affect approximately 35 out of every 100,000 adults, but that rate almost trebles to 95 out of 100,000 in women over the age of 45. </w:t>
      </w:r>
    </w:p>
    <w:p w:rsid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As there are no proven treatments available, the majority of patients will require a liver transplant. </w:t>
      </w:r>
      <w:r w:rsidRPr="00AC0CB2">
        <w:rPr>
          <w:rFonts w:ascii="Verdana" w:eastAsia="Times New Roman" w:hAnsi="Verdana" w:cs="Arial"/>
          <w:color w:val="000000"/>
          <w:sz w:val="16"/>
          <w:szCs w:val="16"/>
          <w:lang w:eastAsia="en-GB"/>
        </w:rPr>
        <w:br/>
      </w:r>
      <w:r w:rsidRPr="00AC0CB2">
        <w:rPr>
          <w:rFonts w:ascii="Verdana" w:eastAsia="Times New Roman" w:hAnsi="Verdana" w:cs="Arial"/>
          <w:color w:val="000000"/>
          <w:sz w:val="16"/>
          <w:szCs w:val="16"/>
          <w:lang w:eastAsia="en-GB"/>
        </w:rPr>
        <w:br/>
        <w:t xml:space="preserve">The specific biological pathways underlying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are poorly understood although autoimmunity, where the body attacks its own cells, is known to play a significant role. </w:t>
      </w:r>
      <w:r w:rsidRPr="00AC0CB2">
        <w:rPr>
          <w:rFonts w:ascii="Verdana" w:eastAsia="Times New Roman" w:hAnsi="Verdana" w:cs="Arial"/>
          <w:color w:val="000000"/>
          <w:sz w:val="16"/>
          <w:szCs w:val="16"/>
          <w:lang w:eastAsia="en-GB"/>
        </w:rPr>
        <w:br/>
      </w:r>
      <w:r w:rsidRPr="00AC0CB2">
        <w:rPr>
          <w:rFonts w:ascii="Verdana" w:eastAsia="Times New Roman" w:hAnsi="Verdana" w:cs="Arial"/>
          <w:color w:val="000000"/>
          <w:sz w:val="16"/>
          <w:szCs w:val="16"/>
          <w:lang w:eastAsia="en-GB"/>
        </w:rPr>
        <w:br/>
        <w:t xml:space="preserve">"To gain an insight into the causes of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we compared genetic data from patients and healthy volunteers and found 22 regions of the genome that differed significantly, 15 of which had not previously been identified," says Dr Carl Anderson, from the </w:t>
      </w:r>
      <w:proofErr w:type="spellStart"/>
      <w:r w:rsidRPr="00AC0CB2">
        <w:rPr>
          <w:rFonts w:ascii="Verdana" w:eastAsia="Times New Roman" w:hAnsi="Verdana" w:cs="Arial"/>
          <w:color w:val="000000"/>
          <w:sz w:val="16"/>
          <w:szCs w:val="16"/>
          <w:lang w:eastAsia="en-GB"/>
        </w:rPr>
        <w:t>Wellcome</w:t>
      </w:r>
      <w:proofErr w:type="spellEnd"/>
      <w:r w:rsidRPr="00AC0CB2">
        <w:rPr>
          <w:rFonts w:ascii="Verdana" w:eastAsia="Times New Roman" w:hAnsi="Verdana" w:cs="Arial"/>
          <w:color w:val="000000"/>
          <w:sz w:val="16"/>
          <w:szCs w:val="16"/>
          <w:lang w:eastAsia="en-GB"/>
        </w:rPr>
        <w:t xml:space="preserve"> Trust Sanger Institute and one of the senior authors on the paper. </w:t>
      </w:r>
    </w:p>
    <w:p w:rsid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"By </w:t>
      </w:r>
      <w:proofErr w:type="spellStart"/>
      <w:r w:rsidRPr="00AC0CB2">
        <w:rPr>
          <w:rFonts w:ascii="Verdana" w:eastAsia="Times New Roman" w:hAnsi="Verdana" w:cs="Arial"/>
          <w:color w:val="000000"/>
          <w:sz w:val="16"/>
          <w:szCs w:val="16"/>
          <w:lang w:eastAsia="en-GB"/>
        </w:rPr>
        <w:t>scrutinising</w:t>
      </w:r>
      <w:proofErr w:type="spellEnd"/>
      <w:r w:rsidRPr="00AC0CB2">
        <w:rPr>
          <w:rFonts w:ascii="Verdana" w:eastAsia="Times New Roman" w:hAnsi="Verdana" w:cs="Arial"/>
          <w:color w:val="000000"/>
          <w:sz w:val="16"/>
          <w:szCs w:val="16"/>
          <w:lang w:eastAsia="en-GB"/>
        </w:rPr>
        <w:t xml:space="preserve"> the genes within these regions we were able to identify biological pathways that appear to underpin the disease, thus </w:t>
      </w:r>
      <w:proofErr w:type="spellStart"/>
      <w:r w:rsidRPr="00AC0CB2">
        <w:rPr>
          <w:rFonts w:ascii="Verdana" w:eastAsia="Times New Roman" w:hAnsi="Verdana" w:cs="Arial"/>
          <w:color w:val="000000"/>
          <w:sz w:val="16"/>
          <w:szCs w:val="16"/>
          <w:lang w:eastAsia="en-GB"/>
        </w:rPr>
        <w:t>prioritising</w:t>
      </w:r>
      <w:proofErr w:type="spellEnd"/>
      <w:r w:rsidRPr="00AC0CB2">
        <w:rPr>
          <w:rFonts w:ascii="Verdana" w:eastAsia="Times New Roman" w:hAnsi="Verdana" w:cs="Arial"/>
          <w:color w:val="000000"/>
          <w:sz w:val="16"/>
          <w:szCs w:val="16"/>
          <w:lang w:eastAsia="en-GB"/>
        </w:rPr>
        <w:t xml:space="preserve"> these for future research and highlighting their potential for therapeutic intervention." </w:t>
      </w:r>
      <w:r w:rsidRPr="00AC0CB2">
        <w:rPr>
          <w:rFonts w:ascii="Verdana" w:eastAsia="Times New Roman" w:hAnsi="Verdana" w:cs="Arial"/>
          <w:color w:val="000000"/>
          <w:sz w:val="16"/>
          <w:szCs w:val="16"/>
          <w:lang w:eastAsia="en-GB"/>
        </w:rPr>
        <w:br/>
      </w:r>
      <w:r w:rsidRPr="00AC0CB2">
        <w:rPr>
          <w:rFonts w:ascii="Verdana" w:eastAsia="Times New Roman" w:hAnsi="Verdana" w:cs="Arial"/>
          <w:color w:val="000000"/>
          <w:sz w:val="16"/>
          <w:szCs w:val="16"/>
          <w:lang w:eastAsia="en-GB"/>
        </w:rPr>
        <w:br/>
        <w:t xml:space="preserve">"This study is a key first step in our efforts to unravel the biological complexity of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and further research building on these results is already underway." </w:t>
      </w:r>
      <w:r w:rsidRPr="00AC0CB2">
        <w:rPr>
          <w:rFonts w:ascii="Verdana" w:eastAsia="Times New Roman" w:hAnsi="Verdana" w:cs="Arial"/>
          <w:color w:val="000000"/>
          <w:sz w:val="16"/>
          <w:szCs w:val="16"/>
          <w:lang w:eastAsia="en-GB"/>
        </w:rPr>
        <w:br/>
      </w:r>
      <w:r w:rsidRPr="00AC0CB2">
        <w:rPr>
          <w:rFonts w:ascii="Verdana" w:eastAsia="Times New Roman" w:hAnsi="Verdana" w:cs="Arial"/>
          <w:color w:val="000000"/>
          <w:sz w:val="16"/>
          <w:szCs w:val="16"/>
          <w:lang w:eastAsia="en-GB"/>
        </w:rPr>
        <w:br/>
        <w:t xml:space="preserve">The team found that many of the 15 new regions contain genes involved in regulation of the immune system, with three immune pathways particularly prominent. </w:t>
      </w:r>
    </w:p>
    <w:p w:rsid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lastRenderedPageBreak/>
        <w:t xml:space="preserve">One of these, called the NF-?B pathway, had not previously been associated with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although it had been implicated in other autoimmune and inflammatory diseases such as rheumatoid arthritis, multiple sclerosis and asthma. </w:t>
      </w:r>
    </w:p>
    <w:p w:rsid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In total, five of the identified genomic regions are thought to play a role in this pathway and further work is being planned to elucidate how genetic mutations in these regions cause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and other related diseases. </w:t>
      </w:r>
      <w:r w:rsidRPr="00AC0CB2">
        <w:rPr>
          <w:rFonts w:ascii="Verdana" w:eastAsia="Times New Roman" w:hAnsi="Verdana" w:cs="Arial"/>
          <w:color w:val="000000"/>
          <w:sz w:val="16"/>
          <w:szCs w:val="16"/>
          <w:lang w:eastAsia="en-GB"/>
        </w:rPr>
        <w:br/>
      </w:r>
      <w:r w:rsidRPr="00AC0CB2">
        <w:rPr>
          <w:rFonts w:ascii="Verdana" w:eastAsia="Times New Roman" w:hAnsi="Verdana" w:cs="Arial"/>
          <w:color w:val="000000"/>
          <w:sz w:val="16"/>
          <w:szCs w:val="16"/>
          <w:lang w:eastAsia="en-GB"/>
        </w:rPr>
        <w:br/>
        <w:t xml:space="preserve">"For clinicians involved in the management of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this study is exciting because it provides new and meaningful insight into the biological origins of this condition," says Dr George </w:t>
      </w:r>
      <w:proofErr w:type="spellStart"/>
      <w:r w:rsidRPr="00AC0CB2">
        <w:rPr>
          <w:rFonts w:ascii="Verdana" w:eastAsia="Times New Roman" w:hAnsi="Verdana" w:cs="Arial"/>
          <w:color w:val="000000"/>
          <w:sz w:val="16"/>
          <w:szCs w:val="16"/>
          <w:lang w:eastAsia="en-GB"/>
        </w:rPr>
        <w:t>Mells</w:t>
      </w:r>
      <w:proofErr w:type="spellEnd"/>
      <w:r w:rsidRPr="00AC0CB2">
        <w:rPr>
          <w:rFonts w:ascii="Verdana" w:eastAsia="Times New Roman" w:hAnsi="Verdana" w:cs="Arial"/>
          <w:color w:val="000000"/>
          <w:sz w:val="16"/>
          <w:szCs w:val="16"/>
          <w:lang w:eastAsia="en-GB"/>
        </w:rPr>
        <w:t>, from the Academic Department of Medical Genetics at the University of Cambridge and a first author on the study.</w:t>
      </w:r>
    </w:p>
    <w:p w:rsid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 "This will undoubtedly inform the development of more effective treatments, designed to target the biological pathways involved in causing the disease.”</w:t>
      </w:r>
      <w:r w:rsidRPr="00AC0CB2">
        <w:rPr>
          <w:rFonts w:ascii="Verdana" w:eastAsia="Times New Roman" w:hAnsi="Verdana" w:cs="Arial"/>
          <w:color w:val="000000"/>
          <w:sz w:val="16"/>
          <w:szCs w:val="16"/>
          <w:lang w:eastAsia="en-GB"/>
        </w:rPr>
        <w:br/>
      </w:r>
      <w:r w:rsidRPr="00AC0CB2">
        <w:rPr>
          <w:rFonts w:ascii="Verdana" w:eastAsia="Times New Roman" w:hAnsi="Verdana" w:cs="Arial"/>
          <w:color w:val="000000"/>
          <w:sz w:val="16"/>
          <w:szCs w:val="16"/>
          <w:lang w:eastAsia="en-GB"/>
        </w:rPr>
        <w:br/>
        <w:t xml:space="preserve">This research contributes to the growing body of evidence that suggests there are many genetic risk factors that are shared between autoimmune diseases. </w:t>
      </w:r>
    </w:p>
    <w:p w:rsid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Of the 22 regions identified in this study of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12 have previously been associated with other autoimmune disorders such as type-1 diabetes, multiple sclerosis and psoriasis. </w:t>
      </w:r>
    </w:p>
    <w:p w:rsid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Working out how these shared pathways interact with those that, at this moment in time, appear to be unique to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is likely to lead to important therapeutic breakthroughs. </w:t>
      </w:r>
      <w:r w:rsidRPr="00AC0CB2">
        <w:rPr>
          <w:rFonts w:ascii="Verdana" w:eastAsia="Times New Roman" w:hAnsi="Verdana" w:cs="Arial"/>
          <w:color w:val="000000"/>
          <w:sz w:val="16"/>
          <w:szCs w:val="16"/>
          <w:lang w:eastAsia="en-GB"/>
        </w:rPr>
        <w:br/>
      </w:r>
      <w:r w:rsidRPr="00AC0CB2">
        <w:rPr>
          <w:rFonts w:ascii="Verdana" w:eastAsia="Times New Roman" w:hAnsi="Verdana" w:cs="Arial"/>
          <w:color w:val="000000"/>
          <w:sz w:val="16"/>
          <w:szCs w:val="16"/>
          <w:lang w:eastAsia="en-GB"/>
        </w:rPr>
        <w:br/>
        <w:t xml:space="preserve">"The publication of this paper is no routine academic matter for people with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says Collette </w:t>
      </w:r>
      <w:proofErr w:type="spellStart"/>
      <w:r w:rsidRPr="00AC0CB2">
        <w:rPr>
          <w:rFonts w:ascii="Verdana" w:eastAsia="Times New Roman" w:hAnsi="Verdana" w:cs="Arial"/>
          <w:color w:val="000000"/>
          <w:sz w:val="16"/>
          <w:szCs w:val="16"/>
          <w:lang w:eastAsia="en-GB"/>
        </w:rPr>
        <w:t>Thain</w:t>
      </w:r>
      <w:proofErr w:type="spellEnd"/>
      <w:r w:rsidRPr="00AC0CB2">
        <w:rPr>
          <w:rFonts w:ascii="Verdana" w:eastAsia="Times New Roman" w:hAnsi="Verdana" w:cs="Arial"/>
          <w:color w:val="000000"/>
          <w:sz w:val="16"/>
          <w:szCs w:val="16"/>
          <w:lang w:eastAsia="en-GB"/>
        </w:rPr>
        <w:t xml:space="preserve">, MBE, </w:t>
      </w:r>
      <w:proofErr w:type="gramStart"/>
      <w:r w:rsidRPr="00AC0CB2">
        <w:rPr>
          <w:rFonts w:ascii="Verdana" w:eastAsia="Times New Roman" w:hAnsi="Verdana" w:cs="Arial"/>
          <w:color w:val="000000"/>
          <w:sz w:val="16"/>
          <w:szCs w:val="16"/>
          <w:lang w:eastAsia="en-GB"/>
        </w:rPr>
        <w:t>Chief</w:t>
      </w:r>
      <w:proofErr w:type="gramEnd"/>
      <w:r w:rsidRPr="00AC0CB2">
        <w:rPr>
          <w:rFonts w:ascii="Verdana" w:eastAsia="Times New Roman" w:hAnsi="Verdana" w:cs="Arial"/>
          <w:color w:val="000000"/>
          <w:sz w:val="16"/>
          <w:szCs w:val="16"/>
          <w:lang w:eastAsia="en-GB"/>
        </w:rPr>
        <w:t xml:space="preserve"> Executive of the PBC Foundation. "For us, it means hope - one step towards understanding how best to treat and cure. </w:t>
      </w:r>
    </w:p>
    <w:p w:rsidR="00AC0CB2" w:rsidRP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color w:val="000000"/>
          <w:sz w:val="16"/>
          <w:szCs w:val="16"/>
          <w:lang w:eastAsia="en-GB"/>
        </w:rPr>
        <w:t xml:space="preserve">It is a testament to the perseverance and ingenuity of all the scientists who worked on this project. But because this was a collaborative project, part funded by the PBC Foundation and directly involving patients, it is also an example of how people with conditions like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can work together with scientists and physicians to find solutions. </w:t>
      </w:r>
      <w:r w:rsidRPr="00AC0CB2">
        <w:rPr>
          <w:rFonts w:ascii="Verdana" w:eastAsia="Times New Roman" w:hAnsi="Verdana" w:cs="Arial"/>
          <w:color w:val="000000"/>
          <w:sz w:val="16"/>
          <w:szCs w:val="16"/>
          <w:lang w:eastAsia="en-GB"/>
        </w:rPr>
        <w:br/>
      </w:r>
      <w:r w:rsidRPr="00AC0CB2">
        <w:rPr>
          <w:rFonts w:ascii="Verdana" w:eastAsia="Times New Roman" w:hAnsi="Verdana" w:cs="Arial"/>
          <w:color w:val="000000"/>
          <w:sz w:val="16"/>
          <w:szCs w:val="16"/>
          <w:lang w:eastAsia="en-GB"/>
        </w:rPr>
        <w:br/>
        <w:t xml:space="preserve">"As a sufferer myself, it is hard to put into words what an exciting breakthrough like this means to me and all the other people with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Research like this brings a brighter tomorrow ever closer."</w:t>
      </w:r>
    </w:p>
    <w:p w:rsidR="00AC0CB2" w:rsidRPr="00AC0CB2" w:rsidRDefault="00AC0CB2" w:rsidP="00AC0CB2">
      <w:pPr>
        <w:spacing w:before="100" w:beforeAutospacing="1" w:after="100" w:afterAutospacing="1" w:line="336" w:lineRule="auto"/>
        <w:rPr>
          <w:rFonts w:ascii="Verdana" w:eastAsia="Times New Roman" w:hAnsi="Verdana" w:cs="Arial"/>
          <w:color w:val="000000"/>
          <w:sz w:val="16"/>
          <w:szCs w:val="16"/>
          <w:lang w:eastAsia="en-GB"/>
        </w:rPr>
      </w:pPr>
      <w:r w:rsidRPr="00AC0CB2">
        <w:rPr>
          <w:rFonts w:ascii="Verdana" w:eastAsia="Times New Roman" w:hAnsi="Verdana" w:cs="Arial"/>
          <w:b/>
          <w:bCs/>
          <w:color w:val="000000"/>
          <w:sz w:val="16"/>
          <w:lang w:eastAsia="en-GB"/>
        </w:rPr>
        <w:t>Publication details:</w:t>
      </w:r>
      <w:r w:rsidRPr="00AC0CB2">
        <w:rPr>
          <w:rFonts w:ascii="Verdana" w:eastAsia="Times New Roman" w:hAnsi="Verdana" w:cs="Arial"/>
          <w:color w:val="000000"/>
          <w:sz w:val="16"/>
          <w:szCs w:val="16"/>
          <w:lang w:eastAsia="en-GB"/>
        </w:rPr>
        <w:t xml:space="preserve"> Genome-wide association study identifies 12 new susceptibility loci for primary </w:t>
      </w:r>
      <w:proofErr w:type="spellStart"/>
      <w:r w:rsidRPr="00AC0CB2">
        <w:rPr>
          <w:rFonts w:ascii="Verdana" w:eastAsia="Times New Roman" w:hAnsi="Verdana" w:cs="Arial"/>
          <w:color w:val="000000"/>
          <w:sz w:val="16"/>
          <w:szCs w:val="16"/>
          <w:lang w:eastAsia="en-GB"/>
        </w:rPr>
        <w:t>biliary</w:t>
      </w:r>
      <w:proofErr w:type="spellEnd"/>
      <w:r w:rsidRPr="00AC0CB2">
        <w:rPr>
          <w:rFonts w:ascii="Verdana" w:eastAsia="Times New Roman" w:hAnsi="Verdana" w:cs="Arial"/>
          <w:color w:val="000000"/>
          <w:sz w:val="16"/>
          <w:szCs w:val="16"/>
          <w:lang w:eastAsia="en-GB"/>
        </w:rPr>
        <w:t xml:space="preserve"> cirrhosis. </w:t>
      </w:r>
      <w:proofErr w:type="spellStart"/>
      <w:r w:rsidRPr="00AC0CB2">
        <w:rPr>
          <w:rFonts w:ascii="Verdana" w:eastAsia="Times New Roman" w:hAnsi="Verdana" w:cs="Arial"/>
          <w:color w:val="000000"/>
          <w:sz w:val="16"/>
          <w:szCs w:val="16"/>
          <w:lang w:eastAsia="en-GB"/>
        </w:rPr>
        <w:t>Mells</w:t>
      </w:r>
      <w:proofErr w:type="spellEnd"/>
      <w:r w:rsidRPr="00AC0CB2">
        <w:rPr>
          <w:rFonts w:ascii="Verdana" w:eastAsia="Times New Roman" w:hAnsi="Verdana" w:cs="Arial"/>
          <w:color w:val="000000"/>
          <w:sz w:val="16"/>
          <w:szCs w:val="16"/>
          <w:lang w:eastAsia="en-GB"/>
        </w:rPr>
        <w:t xml:space="preserve"> GF, Floyd JA, Morley KI, Cordell HJ, Franklin CS, Shin SY, </w:t>
      </w:r>
      <w:proofErr w:type="spellStart"/>
      <w:r w:rsidRPr="00AC0CB2">
        <w:rPr>
          <w:rFonts w:ascii="Verdana" w:eastAsia="Times New Roman" w:hAnsi="Verdana" w:cs="Arial"/>
          <w:color w:val="000000"/>
          <w:sz w:val="16"/>
          <w:szCs w:val="16"/>
          <w:lang w:eastAsia="en-GB"/>
        </w:rPr>
        <w:t>Heneghan</w:t>
      </w:r>
      <w:proofErr w:type="spellEnd"/>
      <w:r w:rsidRPr="00AC0CB2">
        <w:rPr>
          <w:rFonts w:ascii="Verdana" w:eastAsia="Times New Roman" w:hAnsi="Verdana" w:cs="Arial"/>
          <w:color w:val="000000"/>
          <w:sz w:val="16"/>
          <w:szCs w:val="16"/>
          <w:lang w:eastAsia="en-GB"/>
        </w:rPr>
        <w:t xml:space="preserve"> MA, Neuberger JM, Donaldson PT, Day DB, Ducker SJ, </w:t>
      </w:r>
      <w:proofErr w:type="spellStart"/>
      <w:r w:rsidRPr="00AC0CB2">
        <w:rPr>
          <w:rFonts w:ascii="Verdana" w:eastAsia="Times New Roman" w:hAnsi="Verdana" w:cs="Arial"/>
          <w:color w:val="000000"/>
          <w:sz w:val="16"/>
          <w:szCs w:val="16"/>
          <w:lang w:eastAsia="en-GB"/>
        </w:rPr>
        <w:t>Muriithi</w:t>
      </w:r>
      <w:proofErr w:type="spellEnd"/>
      <w:r w:rsidRPr="00AC0CB2">
        <w:rPr>
          <w:rFonts w:ascii="Verdana" w:eastAsia="Times New Roman" w:hAnsi="Verdana" w:cs="Arial"/>
          <w:color w:val="000000"/>
          <w:sz w:val="16"/>
          <w:szCs w:val="16"/>
          <w:lang w:eastAsia="en-GB"/>
        </w:rPr>
        <w:t xml:space="preserve"> AW, </w:t>
      </w:r>
      <w:proofErr w:type="spellStart"/>
      <w:r w:rsidRPr="00AC0CB2">
        <w:rPr>
          <w:rFonts w:ascii="Verdana" w:eastAsia="Times New Roman" w:hAnsi="Verdana" w:cs="Arial"/>
          <w:color w:val="000000"/>
          <w:sz w:val="16"/>
          <w:szCs w:val="16"/>
          <w:lang w:eastAsia="en-GB"/>
        </w:rPr>
        <w:t>Wheater</w:t>
      </w:r>
      <w:proofErr w:type="spellEnd"/>
      <w:r w:rsidRPr="00AC0CB2">
        <w:rPr>
          <w:rFonts w:ascii="Verdana" w:eastAsia="Times New Roman" w:hAnsi="Verdana" w:cs="Arial"/>
          <w:color w:val="000000"/>
          <w:sz w:val="16"/>
          <w:szCs w:val="16"/>
          <w:lang w:eastAsia="en-GB"/>
        </w:rPr>
        <w:t xml:space="preserve"> EF, Hammond CJ, </w:t>
      </w:r>
      <w:proofErr w:type="spellStart"/>
      <w:r w:rsidRPr="00AC0CB2">
        <w:rPr>
          <w:rFonts w:ascii="Verdana" w:eastAsia="Times New Roman" w:hAnsi="Verdana" w:cs="Arial"/>
          <w:color w:val="000000"/>
          <w:sz w:val="16"/>
          <w:szCs w:val="16"/>
          <w:lang w:eastAsia="en-GB"/>
        </w:rPr>
        <w:t>Dawwas</w:t>
      </w:r>
      <w:proofErr w:type="spellEnd"/>
      <w:r w:rsidRPr="00AC0CB2">
        <w:rPr>
          <w:rFonts w:ascii="Verdana" w:eastAsia="Times New Roman" w:hAnsi="Verdana" w:cs="Arial"/>
          <w:color w:val="000000"/>
          <w:sz w:val="16"/>
          <w:szCs w:val="16"/>
          <w:lang w:eastAsia="en-GB"/>
        </w:rPr>
        <w:t xml:space="preserve"> MF, The UK PBC Consortium, The </w:t>
      </w:r>
      <w:proofErr w:type="spellStart"/>
      <w:r w:rsidRPr="00AC0CB2">
        <w:rPr>
          <w:rFonts w:ascii="Verdana" w:eastAsia="Times New Roman" w:hAnsi="Verdana" w:cs="Arial"/>
          <w:color w:val="000000"/>
          <w:sz w:val="16"/>
          <w:szCs w:val="16"/>
          <w:lang w:eastAsia="en-GB"/>
        </w:rPr>
        <w:t>Wellcome</w:t>
      </w:r>
      <w:proofErr w:type="spellEnd"/>
      <w:r w:rsidRPr="00AC0CB2">
        <w:rPr>
          <w:rFonts w:ascii="Verdana" w:eastAsia="Times New Roman" w:hAnsi="Verdana" w:cs="Arial"/>
          <w:color w:val="000000"/>
          <w:sz w:val="16"/>
          <w:szCs w:val="16"/>
          <w:lang w:eastAsia="en-GB"/>
        </w:rPr>
        <w:t xml:space="preserve"> Trust Case Control Consortium 3, Jones DE, </w:t>
      </w:r>
      <w:proofErr w:type="spellStart"/>
      <w:r w:rsidRPr="00AC0CB2">
        <w:rPr>
          <w:rFonts w:ascii="Verdana" w:eastAsia="Times New Roman" w:hAnsi="Verdana" w:cs="Arial"/>
          <w:color w:val="000000"/>
          <w:sz w:val="16"/>
          <w:szCs w:val="16"/>
          <w:lang w:eastAsia="en-GB"/>
        </w:rPr>
        <w:t>Peltonen</w:t>
      </w:r>
      <w:proofErr w:type="spellEnd"/>
      <w:r w:rsidRPr="00AC0CB2">
        <w:rPr>
          <w:rFonts w:ascii="Verdana" w:eastAsia="Times New Roman" w:hAnsi="Verdana" w:cs="Arial"/>
          <w:color w:val="000000"/>
          <w:sz w:val="16"/>
          <w:szCs w:val="16"/>
          <w:lang w:eastAsia="en-GB"/>
        </w:rPr>
        <w:t xml:space="preserve"> L, Alexander GJ, </w:t>
      </w:r>
      <w:proofErr w:type="spellStart"/>
      <w:r w:rsidRPr="00AC0CB2">
        <w:rPr>
          <w:rFonts w:ascii="Verdana" w:eastAsia="Times New Roman" w:hAnsi="Verdana" w:cs="Arial"/>
          <w:color w:val="000000"/>
          <w:sz w:val="16"/>
          <w:szCs w:val="16"/>
          <w:lang w:eastAsia="en-GB"/>
        </w:rPr>
        <w:t>Sandford</w:t>
      </w:r>
      <w:proofErr w:type="spellEnd"/>
      <w:r w:rsidRPr="00AC0CB2">
        <w:rPr>
          <w:rFonts w:ascii="Verdana" w:eastAsia="Times New Roman" w:hAnsi="Verdana" w:cs="Arial"/>
          <w:color w:val="000000"/>
          <w:sz w:val="16"/>
          <w:szCs w:val="16"/>
          <w:lang w:eastAsia="en-GB"/>
        </w:rPr>
        <w:t xml:space="preserve"> RN and Anderson CA. Nature genetics 2011</w:t>
      </w:r>
      <w:r w:rsidRPr="00AC0CB2">
        <w:rPr>
          <w:rFonts w:ascii="Verdana" w:eastAsia="Times New Roman" w:hAnsi="Verdana" w:cs="Arial"/>
          <w:color w:val="000000"/>
          <w:sz w:val="16"/>
          <w:szCs w:val="16"/>
          <w:lang w:eastAsia="en-GB"/>
        </w:rPr>
        <w:br/>
        <w:t>PUBMED: 21399635; DOI: 10.1038/ng.789</w:t>
      </w:r>
    </w:p>
    <w:p w:rsidR="00AC0CB2" w:rsidRPr="00AC0CB2" w:rsidRDefault="00AC0CB2" w:rsidP="00AC0CB2">
      <w:pPr>
        <w:spacing w:after="0" w:line="12" w:lineRule="atLeast"/>
        <w:rPr>
          <w:rFonts w:ascii="Verdana" w:eastAsia="Times New Roman" w:hAnsi="Verdana" w:cs="Arial"/>
          <w:color w:val="000000"/>
          <w:sz w:val="2"/>
          <w:szCs w:val="2"/>
          <w:lang w:eastAsia="en-GB"/>
        </w:rPr>
      </w:pPr>
      <w:r w:rsidRPr="00AC0CB2">
        <w:rPr>
          <w:rFonts w:ascii="Verdana" w:eastAsia="Times New Roman" w:hAnsi="Verdana" w:cs="Arial"/>
          <w:color w:val="000000"/>
          <w:sz w:val="2"/>
          <w:szCs w:val="2"/>
          <w:lang w:eastAsia="en-GB"/>
        </w:rPr>
        <w:t> </w:t>
      </w:r>
    </w:p>
    <w:p w:rsidR="00CE6CB6" w:rsidRDefault="00CE6CB6"/>
    <w:sectPr w:rsidR="00CE6CB6" w:rsidSect="00CE6C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C0CB2"/>
    <w:rsid w:val="00AC0CB2"/>
    <w:rsid w:val="00CE6C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CB6"/>
  </w:style>
  <w:style w:type="paragraph" w:styleId="Heading3">
    <w:name w:val="heading 3"/>
    <w:basedOn w:val="Normal"/>
    <w:link w:val="Heading3Char"/>
    <w:uiPriority w:val="9"/>
    <w:qFormat/>
    <w:rsid w:val="00AC0CB2"/>
    <w:pPr>
      <w:pBdr>
        <w:bottom w:val="single" w:sz="4" w:space="2" w:color="CCCCCC"/>
      </w:pBdr>
      <w:spacing w:before="100" w:beforeAutospacing="1" w:after="138"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CB2"/>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AC0CB2"/>
    <w:rPr>
      <w:color w:val="015A9E"/>
      <w:u w:val="single"/>
    </w:rPr>
  </w:style>
  <w:style w:type="character" w:styleId="Strong">
    <w:name w:val="Strong"/>
    <w:basedOn w:val="DefaultParagraphFont"/>
    <w:uiPriority w:val="22"/>
    <w:qFormat/>
    <w:rsid w:val="00AC0CB2"/>
    <w:rPr>
      <w:b/>
      <w:bCs/>
      <w:i w:val="0"/>
      <w:iCs w:val="0"/>
      <w:color w:val="000000"/>
    </w:rPr>
  </w:style>
  <w:style w:type="character" w:customStyle="1" w:styleId="ata11y">
    <w:name w:val="at_a11y"/>
    <w:basedOn w:val="DefaultParagraphFont"/>
    <w:rsid w:val="00AC0CB2"/>
  </w:style>
  <w:style w:type="paragraph" w:customStyle="1" w:styleId="newsdate">
    <w:name w:val="newsdate"/>
    <w:basedOn w:val="Normal"/>
    <w:rsid w:val="00AC0C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C0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C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1335546">
      <w:bodyDiv w:val="1"/>
      <w:marLeft w:val="0"/>
      <w:marRight w:val="0"/>
      <w:marTop w:val="0"/>
      <w:marBottom w:val="0"/>
      <w:divBdr>
        <w:top w:val="none" w:sz="0" w:space="0" w:color="auto"/>
        <w:left w:val="none" w:sz="0" w:space="0" w:color="auto"/>
        <w:bottom w:val="none" w:sz="0" w:space="0" w:color="auto"/>
        <w:right w:val="none" w:sz="0" w:space="0" w:color="auto"/>
      </w:divBdr>
      <w:divsChild>
        <w:div w:id="1282806710">
          <w:marLeft w:val="0"/>
          <w:marRight w:val="0"/>
          <w:marTop w:val="0"/>
          <w:marBottom w:val="0"/>
          <w:divBdr>
            <w:top w:val="none" w:sz="0" w:space="0" w:color="auto"/>
            <w:left w:val="none" w:sz="0" w:space="0" w:color="auto"/>
            <w:bottom w:val="none" w:sz="0" w:space="0" w:color="auto"/>
            <w:right w:val="none" w:sz="0" w:space="0" w:color="auto"/>
          </w:divBdr>
          <w:divsChild>
            <w:div w:id="28923495">
              <w:marLeft w:val="0"/>
              <w:marRight w:val="0"/>
              <w:marTop w:val="0"/>
              <w:marBottom w:val="0"/>
              <w:divBdr>
                <w:top w:val="none" w:sz="0" w:space="0" w:color="auto"/>
                <w:left w:val="none" w:sz="0" w:space="0" w:color="auto"/>
                <w:bottom w:val="none" w:sz="0" w:space="0" w:color="auto"/>
                <w:right w:val="none" w:sz="0" w:space="0" w:color="auto"/>
              </w:divBdr>
              <w:divsChild>
                <w:div w:id="880171301">
                  <w:marLeft w:val="346"/>
                  <w:marRight w:val="0"/>
                  <w:marTop w:val="0"/>
                  <w:marBottom w:val="0"/>
                  <w:divBdr>
                    <w:top w:val="none" w:sz="0" w:space="0" w:color="auto"/>
                    <w:left w:val="none" w:sz="0" w:space="0" w:color="auto"/>
                    <w:bottom w:val="none" w:sz="0" w:space="0" w:color="auto"/>
                    <w:right w:val="none" w:sz="0" w:space="0" w:color="auto"/>
                  </w:divBdr>
                  <w:divsChild>
                    <w:div w:id="815486141">
                      <w:marLeft w:val="0"/>
                      <w:marRight w:val="0"/>
                      <w:marTop w:val="0"/>
                      <w:marBottom w:val="0"/>
                      <w:divBdr>
                        <w:top w:val="none" w:sz="0" w:space="0" w:color="auto"/>
                        <w:left w:val="none" w:sz="0" w:space="0" w:color="auto"/>
                        <w:bottom w:val="none" w:sz="0" w:space="0" w:color="auto"/>
                        <w:right w:val="none" w:sz="0" w:space="0" w:color="auto"/>
                      </w:divBdr>
                    </w:div>
                    <w:div w:id="1879080379">
                      <w:marLeft w:val="46"/>
                      <w:marRight w:val="46"/>
                      <w:marTop w:val="0"/>
                      <w:marBottom w:val="240"/>
                      <w:divBdr>
                        <w:top w:val="none" w:sz="0" w:space="0" w:color="auto"/>
                        <w:left w:val="none" w:sz="0" w:space="0" w:color="auto"/>
                        <w:bottom w:val="none" w:sz="0" w:space="0" w:color="auto"/>
                        <w:right w:val="none" w:sz="0" w:space="0" w:color="auto"/>
                      </w:divBdr>
                    </w:div>
                    <w:div w:id="372580939">
                      <w:marLeft w:val="46"/>
                      <w:marRight w:val="46"/>
                      <w:marTop w:val="0"/>
                      <w:marBottom w:val="240"/>
                      <w:divBdr>
                        <w:top w:val="none" w:sz="0" w:space="0" w:color="auto"/>
                        <w:left w:val="none" w:sz="0" w:space="0" w:color="auto"/>
                        <w:bottom w:val="none" w:sz="0" w:space="0" w:color="auto"/>
                        <w:right w:val="none" w:sz="0" w:space="0" w:color="auto"/>
                      </w:divBdr>
                    </w:div>
                    <w:div w:id="454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tccc.org.uk/ccc3/"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811</Words>
  <Characters>4628</Characters>
  <Application>Microsoft Office Word</Application>
  <DocSecurity>0</DocSecurity>
  <Lines>38</Lines>
  <Paragraphs>10</Paragraphs>
  <ScaleCrop>false</ScaleCrop>
  <Company>Cardiff University</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2012-08-17T10:56:00Z</dcterms:created>
  <dcterms:modified xsi:type="dcterms:W3CDTF">2012-08-17T10:58:00Z</dcterms:modified>
</cp:coreProperties>
</file>