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880718" w14:textId="77777777" w:rsidR="00EA1CCE" w:rsidRPr="00BD7831" w:rsidRDefault="00EA1CCE" w:rsidP="00EA1CCE">
      <w:pPr>
        <w:spacing w:before="150" w:after="225" w:line="264" w:lineRule="atLeast"/>
        <w:outlineLvl w:val="1"/>
        <w:rPr>
          <w:rFonts w:ascii="Trebuchet MS" w:eastAsia="Times New Roman" w:hAnsi="Trebuchet MS" w:cs="Times New Roman"/>
          <w:spacing w:val="7"/>
          <w:kern w:val="36"/>
          <w:sz w:val="36"/>
          <w:szCs w:val="36"/>
          <w:lang w:eastAsia="en-GB"/>
        </w:rPr>
      </w:pPr>
      <w:r w:rsidRPr="00BD7831">
        <w:rPr>
          <w:rFonts w:ascii="Trebuchet MS" w:eastAsia="Times New Roman" w:hAnsi="Trebuchet MS" w:cs="Times New Roman"/>
          <w:spacing w:val="7"/>
          <w:kern w:val="36"/>
          <w:sz w:val="36"/>
          <w:szCs w:val="36"/>
          <w:lang w:eastAsia="en-GB"/>
        </w:rPr>
        <w:t>Dementia costs Europe £165 billion a year</w:t>
      </w:r>
    </w:p>
    <w:p w14:paraId="0184FF96" w14:textId="77777777" w:rsidR="00EA1CCE" w:rsidRPr="00BD7831" w:rsidRDefault="00EA1CCE" w:rsidP="00EA1CCE">
      <w:pPr>
        <w:spacing w:before="75" w:after="150" w:line="408" w:lineRule="atLeast"/>
        <w:rPr>
          <w:rFonts w:ascii="Verdana" w:eastAsia="Times New Roman" w:hAnsi="Verdana" w:cs="Times New Roman"/>
          <w:sz w:val="17"/>
          <w:szCs w:val="17"/>
          <w:lang w:eastAsia="en-GB"/>
        </w:rPr>
      </w:pPr>
      <w:r w:rsidRPr="00BD7831">
        <w:rPr>
          <w:rFonts w:ascii="Verdana" w:eastAsia="Times New Roman" w:hAnsi="Verdana" w:cs="Times New Roman"/>
          <w:b/>
          <w:bCs/>
          <w:sz w:val="17"/>
          <w:szCs w:val="17"/>
          <w:lang w:eastAsia="en-GB"/>
        </w:rPr>
        <w:t>27 October 2011</w:t>
      </w:r>
      <w:r w:rsidRPr="00BD7831">
        <w:rPr>
          <w:rFonts w:ascii="Verdana" w:eastAsia="Times New Roman" w:hAnsi="Verdana" w:cs="Times New Roman"/>
          <w:sz w:val="17"/>
          <w:szCs w:val="17"/>
          <w:lang w:eastAsia="en-GB"/>
        </w:rPr>
        <w:t xml:space="preserve"> </w:t>
      </w:r>
    </w:p>
    <w:p w14:paraId="664DC521" w14:textId="77777777" w:rsidR="00EA1CCE" w:rsidRPr="00BD7831" w:rsidRDefault="00EA1CCE" w:rsidP="00EA1CCE">
      <w:pPr>
        <w:spacing w:before="75" w:after="150" w:line="408" w:lineRule="atLeast"/>
        <w:rPr>
          <w:rFonts w:ascii="Verdana" w:eastAsia="Times New Roman" w:hAnsi="Verdana" w:cs="Times New Roman"/>
          <w:sz w:val="17"/>
          <w:szCs w:val="17"/>
          <w:lang w:eastAsia="en-GB"/>
        </w:rPr>
      </w:pPr>
      <w:r w:rsidRPr="00BD7831">
        <w:rPr>
          <w:rFonts w:ascii="Verdana" w:eastAsia="Times New Roman" w:hAnsi="Verdana" w:cs="Times New Roman"/>
          <w:sz w:val="17"/>
          <w:szCs w:val="17"/>
          <w:lang w:eastAsia="en-GB"/>
        </w:rPr>
        <w:t xml:space="preserve">Care provided by </w:t>
      </w:r>
      <w:proofErr w:type="gramStart"/>
      <w:r w:rsidRPr="00BD7831">
        <w:rPr>
          <w:rFonts w:ascii="Verdana" w:eastAsia="Times New Roman" w:hAnsi="Verdana" w:cs="Times New Roman"/>
          <w:sz w:val="17"/>
          <w:szCs w:val="17"/>
          <w:lang w:eastAsia="en-GB"/>
        </w:rPr>
        <w:t>families</w:t>
      </w:r>
      <w:proofErr w:type="gramEnd"/>
      <w:r w:rsidRPr="00BD7831">
        <w:rPr>
          <w:rFonts w:ascii="Verdana" w:eastAsia="Times New Roman" w:hAnsi="Verdana" w:cs="Times New Roman"/>
          <w:sz w:val="17"/>
          <w:szCs w:val="17"/>
          <w:lang w:eastAsia="en-GB"/>
        </w:rPr>
        <w:t xml:space="preserve"> accounts for two-thirds of the total</w:t>
      </w:r>
    </w:p>
    <w:p w14:paraId="50906033" w14:textId="77777777" w:rsidR="00EA1CCE" w:rsidRPr="00BD7831" w:rsidRDefault="00EA1CCE" w:rsidP="00EA1CCE">
      <w:pPr>
        <w:spacing w:before="75" w:after="150" w:line="408" w:lineRule="atLeast"/>
        <w:rPr>
          <w:rFonts w:ascii="Verdana" w:eastAsia="Times New Roman" w:hAnsi="Verdana" w:cs="Times New Roman"/>
          <w:sz w:val="17"/>
          <w:szCs w:val="17"/>
          <w:lang w:eastAsia="en-GB"/>
        </w:rPr>
      </w:pPr>
      <w:r w:rsidRPr="00BD7831">
        <w:rPr>
          <w:rFonts w:ascii="Verdana" w:eastAsia="Times New Roman" w:hAnsi="Verdana" w:cs="Times New Roman"/>
          <w:sz w:val="17"/>
          <w:szCs w:val="17"/>
          <w:lang w:eastAsia="en-GB"/>
        </w:rPr>
        <w:t>Oxford University researchers have estimated that the cost of dementia across 15 western European countries totalled £165 billion (€189 billion) in 2007.</w:t>
      </w:r>
    </w:p>
    <w:p w14:paraId="4DC76855" w14:textId="77777777" w:rsidR="00EA1CCE" w:rsidRPr="00BD7831" w:rsidRDefault="00EA1CCE" w:rsidP="00EA1CCE">
      <w:pPr>
        <w:spacing w:before="75" w:after="150" w:line="408" w:lineRule="atLeast"/>
        <w:rPr>
          <w:rFonts w:ascii="Verdana" w:eastAsia="Times New Roman" w:hAnsi="Verdana" w:cs="Times New Roman"/>
          <w:sz w:val="17"/>
          <w:szCs w:val="17"/>
          <w:lang w:eastAsia="en-GB"/>
        </w:rPr>
      </w:pPr>
      <w:r w:rsidRPr="00BD7831">
        <w:rPr>
          <w:rFonts w:ascii="Verdana" w:eastAsia="Times New Roman" w:hAnsi="Verdana" w:cs="Times New Roman"/>
          <w:sz w:val="17"/>
          <w:szCs w:val="17"/>
          <w:lang w:eastAsia="en-GB"/>
        </w:rPr>
        <w:t>Most of the cost was due to the care provided by families and friends, which accounted for over two-thirds of the total (68%), or £112 billion (€129 billion).</w:t>
      </w:r>
    </w:p>
    <w:p w14:paraId="75FA5C9E" w14:textId="77777777" w:rsidR="00EA1CCE" w:rsidRPr="00BD7831" w:rsidRDefault="00EA1CCE" w:rsidP="00EA1CCE">
      <w:pPr>
        <w:spacing w:before="75" w:after="150" w:line="408" w:lineRule="atLeast"/>
        <w:rPr>
          <w:rFonts w:ascii="Verdana" w:eastAsia="Times New Roman" w:hAnsi="Verdana" w:cs="Times New Roman"/>
          <w:sz w:val="17"/>
          <w:szCs w:val="17"/>
          <w:lang w:eastAsia="en-GB"/>
        </w:rPr>
      </w:pPr>
      <w:r w:rsidRPr="00BD7831">
        <w:rPr>
          <w:rFonts w:ascii="Verdana" w:eastAsia="Times New Roman" w:hAnsi="Verdana" w:cs="Times New Roman"/>
          <w:sz w:val="17"/>
          <w:szCs w:val="17"/>
          <w:lang w:eastAsia="en-GB"/>
        </w:rPr>
        <w:t>Over a quarter of the costs (26%) were down to social care, predominantly in residential and nursing homes, while costs to countries’ healthcare systems made up just 5% of the total burden.</w:t>
      </w:r>
    </w:p>
    <w:p w14:paraId="20C00E24" w14:textId="77777777" w:rsidR="00EA1CCE" w:rsidRPr="00BD7831" w:rsidRDefault="00EA1CCE" w:rsidP="00EA1CCE">
      <w:pPr>
        <w:spacing w:before="75" w:after="150" w:line="408" w:lineRule="atLeast"/>
        <w:rPr>
          <w:rFonts w:ascii="Verdana" w:eastAsia="Times New Roman" w:hAnsi="Verdana" w:cs="Times New Roman"/>
          <w:sz w:val="17"/>
          <w:szCs w:val="17"/>
          <w:lang w:eastAsia="en-GB"/>
        </w:rPr>
      </w:pPr>
      <w:r w:rsidRPr="00BD7831">
        <w:rPr>
          <w:rFonts w:ascii="Verdana" w:eastAsia="Times New Roman" w:hAnsi="Verdana" w:cs="Times New Roman"/>
          <w:sz w:val="17"/>
          <w:szCs w:val="17"/>
          <w:lang w:eastAsia="en-GB"/>
        </w:rPr>
        <w:t>The remaining 1% was down to lost earnings due to illness and premature death.</w:t>
      </w:r>
    </w:p>
    <w:p w14:paraId="02EB2E8F" w14:textId="77777777" w:rsidR="00EA1CCE" w:rsidRPr="00BD7831" w:rsidRDefault="00EA1CCE" w:rsidP="00EA1CCE">
      <w:pPr>
        <w:spacing w:before="75" w:after="150" w:line="408" w:lineRule="atLeast"/>
        <w:rPr>
          <w:rFonts w:ascii="Verdana" w:eastAsia="Times New Roman" w:hAnsi="Verdana" w:cs="Times New Roman"/>
          <w:sz w:val="17"/>
          <w:szCs w:val="17"/>
          <w:lang w:eastAsia="en-GB"/>
        </w:rPr>
      </w:pPr>
      <w:r w:rsidRPr="00BD7831">
        <w:rPr>
          <w:rFonts w:ascii="Verdana" w:eastAsia="Times New Roman" w:hAnsi="Verdana" w:cs="Times New Roman"/>
          <w:sz w:val="17"/>
          <w:szCs w:val="17"/>
          <w:lang w:eastAsia="en-GB"/>
        </w:rPr>
        <w:t>Health and social care costs in the UK in 2007 were the third highest, per dementia patient, after Luxembourg and Sweden.</w:t>
      </w:r>
    </w:p>
    <w:p w14:paraId="1365CF43" w14:textId="77777777" w:rsidR="00EA1CCE" w:rsidRPr="00BD7831" w:rsidRDefault="00EA1CCE" w:rsidP="00EA1CCE">
      <w:pPr>
        <w:spacing w:before="75" w:after="150" w:line="408" w:lineRule="atLeast"/>
        <w:rPr>
          <w:rFonts w:ascii="Verdana" w:eastAsia="Times New Roman" w:hAnsi="Verdana" w:cs="Times New Roman"/>
          <w:sz w:val="17"/>
          <w:szCs w:val="17"/>
          <w:lang w:eastAsia="en-GB"/>
        </w:rPr>
      </w:pPr>
      <w:r w:rsidRPr="00BD7831">
        <w:rPr>
          <w:rFonts w:ascii="Verdana" w:eastAsia="Times New Roman" w:hAnsi="Verdana" w:cs="Times New Roman"/>
          <w:sz w:val="17"/>
          <w:szCs w:val="17"/>
          <w:lang w:eastAsia="en-GB"/>
        </w:rPr>
        <w:t>Care for each UK dementia patient cost £13,200, after adjusting for price differentials between countries.</w:t>
      </w:r>
    </w:p>
    <w:p w14:paraId="43CCF05E" w14:textId="77777777" w:rsidR="00EA1CCE" w:rsidRPr="00BD7831" w:rsidRDefault="00EA1CCE" w:rsidP="00EA1CCE">
      <w:pPr>
        <w:spacing w:before="75" w:after="150" w:line="408" w:lineRule="atLeast"/>
        <w:rPr>
          <w:rFonts w:ascii="Verdana" w:eastAsia="Times New Roman" w:hAnsi="Verdana" w:cs="Times New Roman"/>
          <w:sz w:val="17"/>
          <w:szCs w:val="17"/>
          <w:lang w:eastAsia="en-GB"/>
        </w:rPr>
      </w:pPr>
      <w:r w:rsidRPr="00BD7831">
        <w:rPr>
          <w:rFonts w:ascii="Verdana" w:eastAsia="Times New Roman" w:hAnsi="Verdana" w:cs="Times New Roman"/>
          <w:sz w:val="17"/>
          <w:szCs w:val="17"/>
          <w:lang w:eastAsia="en-GB"/>
        </w:rPr>
        <w:t>The average across the 15 countries studied was £8,623, though it varied widely between individual nations.</w:t>
      </w:r>
    </w:p>
    <w:p w14:paraId="282E2B61" w14:textId="77777777" w:rsidR="00EA1CCE" w:rsidRPr="00BD7831" w:rsidRDefault="00EA1CCE" w:rsidP="00EA1CCE">
      <w:pPr>
        <w:spacing w:before="75" w:after="150" w:line="408" w:lineRule="atLeast"/>
        <w:rPr>
          <w:rFonts w:ascii="Verdana" w:eastAsia="Times New Roman" w:hAnsi="Verdana" w:cs="Times New Roman"/>
          <w:sz w:val="17"/>
          <w:szCs w:val="17"/>
          <w:lang w:eastAsia="en-GB"/>
        </w:rPr>
      </w:pPr>
      <w:r w:rsidRPr="00BD7831">
        <w:rPr>
          <w:rFonts w:ascii="Verdana" w:eastAsia="Times New Roman" w:hAnsi="Verdana" w:cs="Times New Roman"/>
          <w:sz w:val="17"/>
          <w:szCs w:val="17"/>
          <w:lang w:eastAsia="en-GB"/>
        </w:rPr>
        <w:t>The estimated total number of people with dementia (diagnosed and undiagnosed) was 6.4 million people, or 1.6% of the population.</w:t>
      </w:r>
    </w:p>
    <w:p w14:paraId="0E42EAEE" w14:textId="77777777" w:rsidR="00EA1CCE" w:rsidRPr="00BD7831" w:rsidRDefault="00EA1CCE" w:rsidP="00EA1CCE">
      <w:pPr>
        <w:spacing w:before="75" w:after="150" w:line="408" w:lineRule="atLeast"/>
        <w:rPr>
          <w:rFonts w:ascii="Verdana" w:eastAsia="Times New Roman" w:hAnsi="Verdana" w:cs="Times New Roman"/>
          <w:sz w:val="17"/>
          <w:szCs w:val="17"/>
          <w:lang w:eastAsia="en-GB"/>
        </w:rPr>
      </w:pPr>
      <w:r w:rsidRPr="00BD7831">
        <w:rPr>
          <w:rFonts w:ascii="Verdana" w:eastAsia="Times New Roman" w:hAnsi="Verdana" w:cs="Times New Roman"/>
          <w:sz w:val="17"/>
          <w:szCs w:val="17"/>
          <w:lang w:eastAsia="en-GB"/>
        </w:rPr>
        <w:t>The number for the UK was estimated to be just under 1 million.</w:t>
      </w:r>
    </w:p>
    <w:p w14:paraId="383B52E6" w14:textId="77777777" w:rsidR="00EA1CCE" w:rsidRPr="00BD7831" w:rsidRDefault="00EA1CCE" w:rsidP="00EA1CCE">
      <w:pPr>
        <w:spacing w:before="75" w:after="150" w:line="408" w:lineRule="atLeast"/>
        <w:rPr>
          <w:rFonts w:ascii="Verdana" w:eastAsia="Times New Roman" w:hAnsi="Verdana" w:cs="Times New Roman"/>
          <w:sz w:val="17"/>
          <w:szCs w:val="17"/>
          <w:lang w:eastAsia="en-GB"/>
        </w:rPr>
      </w:pPr>
      <w:r w:rsidRPr="00BD7831">
        <w:rPr>
          <w:rFonts w:ascii="Verdana" w:eastAsia="Times New Roman" w:hAnsi="Verdana" w:cs="Times New Roman"/>
          <w:sz w:val="17"/>
          <w:szCs w:val="17"/>
          <w:lang w:eastAsia="en-GB"/>
        </w:rPr>
        <w:t>The study, funded by Alzheimer’s Research UK, is published in the Journal of Alzheimer’s Disease.</w:t>
      </w:r>
    </w:p>
    <w:p w14:paraId="56E8225C" w14:textId="77777777" w:rsidR="00EA1CCE" w:rsidRPr="00BD7831" w:rsidRDefault="00EA1CCE" w:rsidP="00EA1CCE">
      <w:pPr>
        <w:spacing w:before="75" w:after="150" w:line="408" w:lineRule="atLeast"/>
        <w:rPr>
          <w:rFonts w:ascii="Verdana" w:eastAsia="Times New Roman" w:hAnsi="Verdana" w:cs="Times New Roman"/>
          <w:sz w:val="17"/>
          <w:szCs w:val="17"/>
          <w:lang w:eastAsia="en-GB"/>
        </w:rPr>
      </w:pPr>
      <w:r w:rsidRPr="00BD7831">
        <w:rPr>
          <w:rFonts w:ascii="Verdana" w:eastAsia="Times New Roman" w:hAnsi="Verdana" w:cs="Times New Roman"/>
          <w:sz w:val="17"/>
          <w:szCs w:val="17"/>
          <w:lang w:eastAsia="en-GB"/>
        </w:rPr>
        <w:t xml:space="preserve">‘Dementia has a very significant impact across European countries, and the burden falls mainly on unpaid carers,’ says Dr Ramon </w:t>
      </w:r>
      <w:proofErr w:type="spellStart"/>
      <w:r w:rsidRPr="00BD7831">
        <w:rPr>
          <w:rFonts w:ascii="Verdana" w:eastAsia="Times New Roman" w:hAnsi="Verdana" w:cs="Times New Roman"/>
          <w:sz w:val="17"/>
          <w:szCs w:val="17"/>
          <w:lang w:eastAsia="en-GB"/>
        </w:rPr>
        <w:t>Luengo</w:t>
      </w:r>
      <w:proofErr w:type="spellEnd"/>
      <w:r w:rsidRPr="00BD7831">
        <w:rPr>
          <w:rFonts w:ascii="Verdana" w:eastAsia="Times New Roman" w:hAnsi="Verdana" w:cs="Times New Roman"/>
          <w:sz w:val="17"/>
          <w:szCs w:val="17"/>
          <w:lang w:eastAsia="en-GB"/>
        </w:rPr>
        <w:t>-Fernandez of the Health Economics Research Centre at the University of Oxford, who led the work.</w:t>
      </w:r>
    </w:p>
    <w:p w14:paraId="227B1757" w14:textId="77777777" w:rsidR="00EA1CCE" w:rsidRPr="00BD7831" w:rsidRDefault="00EA1CCE" w:rsidP="00EA1CCE">
      <w:pPr>
        <w:spacing w:before="75" w:after="150" w:line="408" w:lineRule="atLeast"/>
        <w:rPr>
          <w:rFonts w:ascii="Verdana" w:eastAsia="Times New Roman" w:hAnsi="Verdana" w:cs="Times New Roman"/>
          <w:sz w:val="17"/>
          <w:szCs w:val="17"/>
          <w:lang w:eastAsia="en-GB"/>
        </w:rPr>
      </w:pPr>
      <w:r w:rsidRPr="00BD7831">
        <w:rPr>
          <w:rFonts w:ascii="Verdana" w:eastAsia="Times New Roman" w:hAnsi="Verdana" w:cs="Times New Roman"/>
          <w:sz w:val="17"/>
          <w:szCs w:val="17"/>
          <w:lang w:eastAsia="en-GB"/>
        </w:rPr>
        <w:t xml:space="preserve">The costs of this informal care arise from the estimated 4.4 million people with dementia living in the community across Europe, who </w:t>
      </w:r>
      <w:proofErr w:type="gramStart"/>
      <w:r w:rsidRPr="00BD7831">
        <w:rPr>
          <w:rFonts w:ascii="Verdana" w:eastAsia="Times New Roman" w:hAnsi="Verdana" w:cs="Times New Roman"/>
          <w:sz w:val="17"/>
          <w:szCs w:val="17"/>
          <w:lang w:eastAsia="en-GB"/>
        </w:rPr>
        <w:t>receive</w:t>
      </w:r>
      <w:proofErr w:type="gramEnd"/>
      <w:r w:rsidRPr="00BD7831">
        <w:rPr>
          <w:rFonts w:ascii="Verdana" w:eastAsia="Times New Roman" w:hAnsi="Verdana" w:cs="Times New Roman"/>
          <w:sz w:val="17"/>
          <w:szCs w:val="17"/>
          <w:lang w:eastAsia="en-GB"/>
        </w:rPr>
        <w:t xml:space="preserve"> 11.9 billion hours of unpaid care from friends and relatives.</w:t>
      </w:r>
    </w:p>
    <w:p w14:paraId="673B1801" w14:textId="77777777" w:rsidR="00EA1CCE" w:rsidRPr="00BD7831" w:rsidRDefault="00EA1CCE" w:rsidP="00EA1CCE">
      <w:pPr>
        <w:spacing w:before="75" w:after="150" w:line="408" w:lineRule="atLeast"/>
        <w:rPr>
          <w:rFonts w:ascii="Verdana" w:eastAsia="Times New Roman" w:hAnsi="Verdana" w:cs="Times New Roman"/>
          <w:sz w:val="17"/>
          <w:szCs w:val="17"/>
          <w:lang w:eastAsia="en-GB"/>
        </w:rPr>
      </w:pPr>
      <w:r w:rsidRPr="00BD7831">
        <w:rPr>
          <w:rFonts w:ascii="Verdana" w:eastAsia="Times New Roman" w:hAnsi="Verdana" w:cs="Times New Roman"/>
          <w:sz w:val="17"/>
          <w:szCs w:val="17"/>
          <w:lang w:eastAsia="en-GB"/>
        </w:rPr>
        <w:t xml:space="preserve">‘Most of the cost of dementia comes from informal care, which is in essence the value put on people’s loving care,’ explains Dr </w:t>
      </w:r>
      <w:proofErr w:type="spellStart"/>
      <w:r w:rsidRPr="00BD7831">
        <w:rPr>
          <w:rFonts w:ascii="Verdana" w:eastAsia="Times New Roman" w:hAnsi="Verdana" w:cs="Times New Roman"/>
          <w:sz w:val="17"/>
          <w:szCs w:val="17"/>
          <w:lang w:eastAsia="en-GB"/>
        </w:rPr>
        <w:t>Luengo</w:t>
      </w:r>
      <w:proofErr w:type="spellEnd"/>
      <w:r w:rsidRPr="00BD7831">
        <w:rPr>
          <w:rFonts w:ascii="Verdana" w:eastAsia="Times New Roman" w:hAnsi="Verdana" w:cs="Times New Roman"/>
          <w:sz w:val="17"/>
          <w:szCs w:val="17"/>
          <w:lang w:eastAsia="en-GB"/>
        </w:rPr>
        <w:t>-Fernandez.</w:t>
      </w:r>
    </w:p>
    <w:p w14:paraId="6114CF6E" w14:textId="77777777" w:rsidR="00EA1CCE" w:rsidRPr="00BD7831" w:rsidRDefault="00EA1CCE" w:rsidP="00EA1CCE">
      <w:pPr>
        <w:spacing w:before="75" w:after="150" w:line="408" w:lineRule="atLeast"/>
        <w:rPr>
          <w:rFonts w:ascii="Verdana" w:eastAsia="Times New Roman" w:hAnsi="Verdana" w:cs="Times New Roman"/>
          <w:sz w:val="17"/>
          <w:szCs w:val="17"/>
          <w:lang w:eastAsia="en-GB"/>
        </w:rPr>
      </w:pPr>
      <w:r w:rsidRPr="00BD7831">
        <w:rPr>
          <w:rFonts w:ascii="Verdana" w:eastAsia="Times New Roman" w:hAnsi="Verdana" w:cs="Times New Roman"/>
          <w:sz w:val="17"/>
          <w:szCs w:val="17"/>
          <w:lang w:eastAsia="en-GB"/>
        </w:rPr>
        <w:lastRenderedPageBreak/>
        <w:t>‘In economic terms, resources should be valued at their opportunity cost.</w:t>
      </w:r>
    </w:p>
    <w:p w14:paraId="76668C78" w14:textId="77777777" w:rsidR="00EA1CCE" w:rsidRPr="00BD7831" w:rsidRDefault="00EA1CCE" w:rsidP="00EA1CCE">
      <w:pPr>
        <w:spacing w:before="75" w:after="150" w:line="408" w:lineRule="atLeast"/>
        <w:rPr>
          <w:rFonts w:ascii="Verdana" w:eastAsia="Times New Roman" w:hAnsi="Verdana" w:cs="Times New Roman"/>
          <w:sz w:val="17"/>
          <w:szCs w:val="17"/>
          <w:lang w:eastAsia="en-GB"/>
        </w:rPr>
      </w:pPr>
      <w:r w:rsidRPr="00BD7831">
        <w:rPr>
          <w:rFonts w:ascii="Verdana" w:eastAsia="Times New Roman" w:hAnsi="Verdana" w:cs="Times New Roman"/>
          <w:sz w:val="17"/>
          <w:szCs w:val="17"/>
          <w:lang w:eastAsia="en-GB"/>
        </w:rPr>
        <w:t>In this case, it’s the time foregone doing other things while caring for a relative with dementia.’</w:t>
      </w:r>
    </w:p>
    <w:p w14:paraId="5727CBCE" w14:textId="77777777" w:rsidR="00EA1CCE" w:rsidRPr="00BD7831" w:rsidRDefault="00EA1CCE" w:rsidP="00EA1CCE">
      <w:pPr>
        <w:spacing w:before="75" w:after="150" w:line="408" w:lineRule="atLeast"/>
        <w:rPr>
          <w:rFonts w:ascii="Verdana" w:eastAsia="Times New Roman" w:hAnsi="Verdana" w:cs="Times New Roman"/>
          <w:sz w:val="17"/>
          <w:szCs w:val="17"/>
          <w:lang w:eastAsia="en-GB"/>
        </w:rPr>
      </w:pPr>
      <w:r w:rsidRPr="00BD7831">
        <w:rPr>
          <w:rFonts w:ascii="Verdana" w:eastAsia="Times New Roman" w:hAnsi="Verdana" w:cs="Times New Roman"/>
          <w:sz w:val="17"/>
          <w:szCs w:val="17"/>
          <w:lang w:eastAsia="en-GB"/>
        </w:rPr>
        <w:t>The other main cost was in the long-term care many people with dementia eventually need in nursing or residential care homes.</w:t>
      </w:r>
    </w:p>
    <w:p w14:paraId="2CC2938D" w14:textId="77777777" w:rsidR="00EA1CCE" w:rsidRPr="00BD7831" w:rsidRDefault="00EA1CCE" w:rsidP="00EA1CCE">
      <w:pPr>
        <w:spacing w:before="75" w:after="150" w:line="408" w:lineRule="atLeast"/>
        <w:rPr>
          <w:rFonts w:ascii="Verdana" w:eastAsia="Times New Roman" w:hAnsi="Verdana" w:cs="Times New Roman"/>
          <w:sz w:val="17"/>
          <w:szCs w:val="17"/>
          <w:lang w:eastAsia="en-GB"/>
        </w:rPr>
      </w:pPr>
      <w:r w:rsidRPr="00BD7831">
        <w:rPr>
          <w:rFonts w:ascii="Verdana" w:eastAsia="Times New Roman" w:hAnsi="Verdana" w:cs="Times New Roman"/>
          <w:sz w:val="17"/>
          <w:szCs w:val="17"/>
          <w:lang w:eastAsia="en-GB"/>
        </w:rPr>
        <w:t xml:space="preserve">Dr </w:t>
      </w:r>
      <w:proofErr w:type="spellStart"/>
      <w:r w:rsidRPr="00BD7831">
        <w:rPr>
          <w:rFonts w:ascii="Verdana" w:eastAsia="Times New Roman" w:hAnsi="Verdana" w:cs="Times New Roman"/>
          <w:sz w:val="17"/>
          <w:szCs w:val="17"/>
          <w:lang w:eastAsia="en-GB"/>
        </w:rPr>
        <w:t>Luengo</w:t>
      </w:r>
      <w:proofErr w:type="spellEnd"/>
      <w:r w:rsidRPr="00BD7831">
        <w:rPr>
          <w:rFonts w:ascii="Verdana" w:eastAsia="Times New Roman" w:hAnsi="Verdana" w:cs="Times New Roman"/>
          <w:sz w:val="17"/>
          <w:szCs w:val="17"/>
          <w:lang w:eastAsia="en-GB"/>
        </w:rPr>
        <w:t>-Fernandez says: ‘Social care has always been the forgotten bit of the healthcare system.</w:t>
      </w:r>
    </w:p>
    <w:p w14:paraId="3FA34969" w14:textId="77777777" w:rsidR="00EA1CCE" w:rsidRPr="00BD7831" w:rsidRDefault="00EA1CCE" w:rsidP="00EA1CCE">
      <w:pPr>
        <w:spacing w:before="75" w:after="150" w:line="408" w:lineRule="atLeast"/>
        <w:rPr>
          <w:rFonts w:ascii="Verdana" w:eastAsia="Times New Roman" w:hAnsi="Verdana" w:cs="Times New Roman"/>
          <w:sz w:val="17"/>
          <w:szCs w:val="17"/>
          <w:lang w:eastAsia="en-GB"/>
        </w:rPr>
      </w:pPr>
      <w:r w:rsidRPr="00BD7831">
        <w:rPr>
          <w:rFonts w:ascii="Verdana" w:eastAsia="Times New Roman" w:hAnsi="Verdana" w:cs="Times New Roman"/>
          <w:sz w:val="17"/>
          <w:szCs w:val="17"/>
          <w:lang w:eastAsia="en-GB"/>
        </w:rPr>
        <w:t>As its funding in the UK is not centralised – bits of funding come from Whitehall, others from local authorities, some of it is private – it has probably not received the required attention.</w:t>
      </w:r>
    </w:p>
    <w:p w14:paraId="76441C08" w14:textId="77777777" w:rsidR="00EA1CCE" w:rsidRPr="00BD7831" w:rsidRDefault="00EA1CCE" w:rsidP="00EA1CCE">
      <w:pPr>
        <w:spacing w:before="75" w:after="150" w:line="408" w:lineRule="atLeast"/>
        <w:rPr>
          <w:rFonts w:ascii="Verdana" w:eastAsia="Times New Roman" w:hAnsi="Verdana" w:cs="Times New Roman"/>
          <w:sz w:val="17"/>
          <w:szCs w:val="17"/>
          <w:lang w:eastAsia="en-GB"/>
        </w:rPr>
      </w:pPr>
      <w:r w:rsidRPr="00BD7831">
        <w:rPr>
          <w:rFonts w:ascii="Verdana" w:eastAsia="Times New Roman" w:hAnsi="Verdana" w:cs="Times New Roman"/>
          <w:sz w:val="17"/>
          <w:szCs w:val="17"/>
          <w:lang w:eastAsia="en-GB"/>
        </w:rPr>
        <w:t>This is true for the majority of European countries.’</w:t>
      </w:r>
    </w:p>
    <w:p w14:paraId="2DF44569" w14:textId="77777777" w:rsidR="00EA1CCE" w:rsidRPr="00BD7831" w:rsidRDefault="00EA1CCE" w:rsidP="00EA1CCE">
      <w:pPr>
        <w:spacing w:before="75" w:after="150" w:line="408" w:lineRule="atLeast"/>
        <w:rPr>
          <w:rFonts w:ascii="Verdana" w:eastAsia="Times New Roman" w:hAnsi="Verdana" w:cs="Times New Roman"/>
          <w:sz w:val="17"/>
          <w:szCs w:val="17"/>
          <w:lang w:eastAsia="en-GB"/>
        </w:rPr>
      </w:pPr>
      <w:r w:rsidRPr="00BD7831">
        <w:rPr>
          <w:rFonts w:ascii="Verdana" w:eastAsia="Times New Roman" w:hAnsi="Verdana" w:cs="Times New Roman"/>
          <w:sz w:val="17"/>
          <w:szCs w:val="17"/>
          <w:lang w:eastAsia="en-GB"/>
        </w:rPr>
        <w:t>The researchers collected data and valued resources related to dementia in each of the 15 countries that made up the EU before 10 accession countries largely in eastern Europe joined in 2004.</w:t>
      </w:r>
    </w:p>
    <w:p w14:paraId="0F179335" w14:textId="77777777" w:rsidR="00EA1CCE" w:rsidRPr="00BD7831" w:rsidRDefault="00EA1CCE" w:rsidP="00EA1CCE">
      <w:pPr>
        <w:spacing w:before="75" w:after="150" w:line="408" w:lineRule="atLeast"/>
        <w:rPr>
          <w:rFonts w:ascii="Verdana" w:eastAsia="Times New Roman" w:hAnsi="Verdana" w:cs="Times New Roman"/>
          <w:sz w:val="17"/>
          <w:szCs w:val="17"/>
          <w:lang w:eastAsia="en-GB"/>
        </w:rPr>
      </w:pPr>
      <w:r w:rsidRPr="00BD7831">
        <w:rPr>
          <w:rFonts w:ascii="Verdana" w:eastAsia="Times New Roman" w:hAnsi="Verdana" w:cs="Times New Roman"/>
          <w:sz w:val="17"/>
          <w:szCs w:val="17"/>
          <w:lang w:eastAsia="en-GB"/>
        </w:rPr>
        <w:t>These 15 countries all had comparable data available, allowing the same method to be used for each nation.</w:t>
      </w:r>
    </w:p>
    <w:p w14:paraId="1677055D" w14:textId="77777777" w:rsidR="00EA1CCE" w:rsidRPr="00BD7831" w:rsidRDefault="00EA1CCE" w:rsidP="00EA1CCE">
      <w:pPr>
        <w:spacing w:before="75" w:after="150" w:line="408" w:lineRule="atLeast"/>
        <w:rPr>
          <w:rFonts w:ascii="Verdana" w:eastAsia="Times New Roman" w:hAnsi="Verdana" w:cs="Times New Roman"/>
          <w:sz w:val="17"/>
          <w:szCs w:val="17"/>
          <w:lang w:eastAsia="en-GB"/>
        </w:rPr>
      </w:pPr>
      <w:r w:rsidRPr="00BD7831">
        <w:rPr>
          <w:rFonts w:ascii="Verdana" w:eastAsia="Times New Roman" w:hAnsi="Verdana" w:cs="Times New Roman"/>
          <w:sz w:val="17"/>
          <w:szCs w:val="17"/>
          <w:lang w:eastAsia="en-GB"/>
        </w:rPr>
        <w:t>The team’s approach made comparisons between costs in different countries possible, revealing significant differences between northern Europe and the Mediterranean.</w:t>
      </w:r>
    </w:p>
    <w:p w14:paraId="6F158198" w14:textId="77777777" w:rsidR="00EA1CCE" w:rsidRPr="00BD7831" w:rsidRDefault="00EA1CCE" w:rsidP="00EA1CCE">
      <w:pPr>
        <w:spacing w:before="75" w:after="150" w:line="408" w:lineRule="atLeast"/>
        <w:rPr>
          <w:rFonts w:ascii="Verdana" w:eastAsia="Times New Roman" w:hAnsi="Verdana" w:cs="Times New Roman"/>
          <w:sz w:val="17"/>
          <w:szCs w:val="17"/>
          <w:lang w:eastAsia="en-GB"/>
        </w:rPr>
      </w:pPr>
      <w:r w:rsidRPr="00BD7831">
        <w:rPr>
          <w:rFonts w:ascii="Verdana" w:eastAsia="Times New Roman" w:hAnsi="Verdana" w:cs="Times New Roman"/>
          <w:sz w:val="17"/>
          <w:szCs w:val="17"/>
          <w:lang w:eastAsia="en-GB"/>
        </w:rPr>
        <w:t xml:space="preserve">Dr </w:t>
      </w:r>
      <w:proofErr w:type="spellStart"/>
      <w:r w:rsidRPr="00BD7831">
        <w:rPr>
          <w:rFonts w:ascii="Verdana" w:eastAsia="Times New Roman" w:hAnsi="Verdana" w:cs="Times New Roman"/>
          <w:sz w:val="17"/>
          <w:szCs w:val="17"/>
          <w:lang w:eastAsia="en-GB"/>
        </w:rPr>
        <w:t>Luengo</w:t>
      </w:r>
      <w:proofErr w:type="spellEnd"/>
      <w:r w:rsidRPr="00BD7831">
        <w:rPr>
          <w:rFonts w:ascii="Verdana" w:eastAsia="Times New Roman" w:hAnsi="Verdana" w:cs="Times New Roman"/>
          <w:sz w:val="17"/>
          <w:szCs w:val="17"/>
          <w:lang w:eastAsia="en-GB"/>
        </w:rPr>
        <w:t>-Fernandez believes the high costs per person of health and social care for dementia in the UK and other northern European countries is simply because these countries are richer: ‘Richer countries tend to have higher costs, especially in medicine and health.</w:t>
      </w:r>
    </w:p>
    <w:p w14:paraId="2719A8FE" w14:textId="77777777" w:rsidR="00EA1CCE" w:rsidRPr="00BD7831" w:rsidRDefault="00EA1CCE" w:rsidP="00EA1CCE">
      <w:pPr>
        <w:spacing w:before="75" w:after="150" w:line="408" w:lineRule="atLeast"/>
        <w:rPr>
          <w:rFonts w:ascii="Verdana" w:eastAsia="Times New Roman" w:hAnsi="Verdana" w:cs="Times New Roman"/>
          <w:sz w:val="17"/>
          <w:szCs w:val="17"/>
          <w:lang w:eastAsia="en-GB"/>
        </w:rPr>
      </w:pPr>
      <w:r w:rsidRPr="00BD7831">
        <w:rPr>
          <w:rFonts w:ascii="Verdana" w:eastAsia="Times New Roman" w:hAnsi="Verdana" w:cs="Times New Roman"/>
          <w:sz w:val="17"/>
          <w:szCs w:val="17"/>
          <w:lang w:eastAsia="en-GB"/>
        </w:rPr>
        <w:t>Healthcare is a luxury good – the higher the income of a country, the greater the proportion of total income that will be devoted to healthcare.</w:t>
      </w:r>
    </w:p>
    <w:p w14:paraId="1E74ED05" w14:textId="77777777" w:rsidR="00EA1CCE" w:rsidRPr="00BD7831" w:rsidRDefault="00EA1CCE" w:rsidP="00EA1CCE">
      <w:pPr>
        <w:spacing w:before="75" w:after="150" w:line="408" w:lineRule="atLeast"/>
        <w:rPr>
          <w:rFonts w:ascii="Verdana" w:eastAsia="Times New Roman" w:hAnsi="Verdana" w:cs="Times New Roman"/>
          <w:sz w:val="17"/>
          <w:szCs w:val="17"/>
          <w:lang w:eastAsia="en-GB"/>
        </w:rPr>
      </w:pPr>
      <w:r w:rsidRPr="00BD7831">
        <w:rPr>
          <w:rFonts w:ascii="Verdana" w:eastAsia="Times New Roman" w:hAnsi="Verdana" w:cs="Times New Roman"/>
          <w:sz w:val="17"/>
          <w:szCs w:val="17"/>
          <w:lang w:eastAsia="en-GB"/>
        </w:rPr>
        <w:t>For example, salaries in the UK for consultants and GPs are markedly higher than for a comparable medical doctor in Spain.</w:t>
      </w:r>
    </w:p>
    <w:p w14:paraId="06B59D01" w14:textId="77777777" w:rsidR="00EA1CCE" w:rsidRPr="00BD7831" w:rsidRDefault="00EA1CCE" w:rsidP="00EA1CCE">
      <w:pPr>
        <w:spacing w:before="75" w:after="150" w:line="408" w:lineRule="atLeast"/>
        <w:rPr>
          <w:rFonts w:ascii="Verdana" w:eastAsia="Times New Roman" w:hAnsi="Verdana" w:cs="Times New Roman"/>
          <w:sz w:val="17"/>
          <w:szCs w:val="17"/>
          <w:lang w:eastAsia="en-GB"/>
        </w:rPr>
      </w:pPr>
      <w:r w:rsidRPr="00BD7831">
        <w:rPr>
          <w:rFonts w:ascii="Verdana" w:eastAsia="Times New Roman" w:hAnsi="Verdana" w:cs="Times New Roman"/>
          <w:sz w:val="17"/>
          <w:szCs w:val="17"/>
          <w:lang w:eastAsia="en-GB"/>
        </w:rPr>
        <w:t>’The study found a large variation in the proportion of people with dementia in long-term care, with a higher proportion being in care homes in northern European countries.</w:t>
      </w:r>
    </w:p>
    <w:p w14:paraId="0054EE15" w14:textId="77777777" w:rsidR="00EA1CCE" w:rsidRPr="00BD7831" w:rsidRDefault="00EA1CCE" w:rsidP="00EA1CCE">
      <w:pPr>
        <w:spacing w:before="75" w:after="150" w:line="408" w:lineRule="atLeast"/>
        <w:rPr>
          <w:rFonts w:ascii="Verdana" w:eastAsia="Times New Roman" w:hAnsi="Verdana" w:cs="Times New Roman"/>
          <w:sz w:val="17"/>
          <w:szCs w:val="17"/>
          <w:lang w:eastAsia="en-GB"/>
        </w:rPr>
      </w:pPr>
      <w:r w:rsidRPr="00BD7831">
        <w:rPr>
          <w:rFonts w:ascii="Verdana" w:eastAsia="Times New Roman" w:hAnsi="Verdana" w:cs="Times New Roman"/>
          <w:sz w:val="17"/>
          <w:szCs w:val="17"/>
          <w:lang w:eastAsia="en-GB"/>
        </w:rPr>
        <w:t xml:space="preserve">Dr </w:t>
      </w:r>
      <w:proofErr w:type="spellStart"/>
      <w:r w:rsidRPr="00BD7831">
        <w:rPr>
          <w:rFonts w:ascii="Verdana" w:eastAsia="Times New Roman" w:hAnsi="Verdana" w:cs="Times New Roman"/>
          <w:sz w:val="17"/>
          <w:szCs w:val="17"/>
          <w:lang w:eastAsia="en-GB"/>
        </w:rPr>
        <w:t>Luengo</w:t>
      </w:r>
      <w:proofErr w:type="spellEnd"/>
      <w:r w:rsidRPr="00BD7831">
        <w:rPr>
          <w:rFonts w:ascii="Verdana" w:eastAsia="Times New Roman" w:hAnsi="Verdana" w:cs="Times New Roman"/>
          <w:sz w:val="17"/>
          <w:szCs w:val="17"/>
          <w:lang w:eastAsia="en-GB"/>
        </w:rPr>
        <w:t>-Fernandez suggests a number of factors contribute to this.</w:t>
      </w:r>
    </w:p>
    <w:p w14:paraId="553E5061" w14:textId="77777777" w:rsidR="00EA1CCE" w:rsidRPr="00BD7831" w:rsidRDefault="00EA1CCE" w:rsidP="00EA1CCE">
      <w:pPr>
        <w:spacing w:before="75" w:after="150" w:line="408" w:lineRule="atLeast"/>
        <w:rPr>
          <w:rFonts w:ascii="Verdana" w:eastAsia="Times New Roman" w:hAnsi="Verdana" w:cs="Times New Roman"/>
          <w:sz w:val="17"/>
          <w:szCs w:val="17"/>
          <w:lang w:eastAsia="en-GB"/>
        </w:rPr>
      </w:pPr>
      <w:r w:rsidRPr="00BD7831">
        <w:rPr>
          <w:rFonts w:ascii="Verdana" w:eastAsia="Times New Roman" w:hAnsi="Verdana" w:cs="Times New Roman"/>
          <w:sz w:val="17"/>
          <w:szCs w:val="17"/>
          <w:lang w:eastAsia="en-GB"/>
        </w:rPr>
        <w:t>He notes that employment rates for women are much lower in Mediterranean countries, and as a result it is more likely that daughters or daughters-in-law will provide the care – as well as bearing much of the burden and psychological stress of caring for a relative with dementia.</w:t>
      </w:r>
    </w:p>
    <w:p w14:paraId="529E6E48" w14:textId="77777777" w:rsidR="00EA1CCE" w:rsidRPr="00BD7831" w:rsidRDefault="00EA1CCE" w:rsidP="00EA1CCE">
      <w:pPr>
        <w:spacing w:before="75" w:after="150" w:line="408" w:lineRule="atLeast"/>
        <w:rPr>
          <w:rFonts w:ascii="Verdana" w:eastAsia="Times New Roman" w:hAnsi="Verdana" w:cs="Times New Roman"/>
          <w:sz w:val="17"/>
          <w:szCs w:val="17"/>
          <w:lang w:eastAsia="en-GB"/>
        </w:rPr>
      </w:pPr>
      <w:r w:rsidRPr="00BD7831">
        <w:rPr>
          <w:rFonts w:ascii="Verdana" w:eastAsia="Times New Roman" w:hAnsi="Verdana" w:cs="Times New Roman"/>
          <w:sz w:val="17"/>
          <w:szCs w:val="17"/>
          <w:lang w:eastAsia="en-GB"/>
        </w:rPr>
        <w:lastRenderedPageBreak/>
        <w:t>There are also cultural differences, with the perception that family ties are stronger in southern European countries and where resorting to institutionalised care may be seen as uncaring and a failure.</w:t>
      </w:r>
    </w:p>
    <w:p w14:paraId="22F9AE9A" w14:textId="77777777" w:rsidR="00EA1CCE" w:rsidRPr="00BD7831" w:rsidRDefault="00EA1CCE" w:rsidP="00EA1CCE">
      <w:pPr>
        <w:spacing w:before="75" w:after="150" w:line="408" w:lineRule="atLeast"/>
        <w:rPr>
          <w:rFonts w:ascii="Verdana" w:eastAsia="Times New Roman" w:hAnsi="Verdana" w:cs="Times New Roman"/>
          <w:sz w:val="17"/>
          <w:szCs w:val="17"/>
          <w:lang w:eastAsia="en-GB"/>
        </w:rPr>
      </w:pPr>
      <w:r w:rsidRPr="00BD7831">
        <w:rPr>
          <w:rFonts w:ascii="Verdana" w:eastAsia="Times New Roman" w:hAnsi="Verdana" w:cs="Times New Roman"/>
          <w:sz w:val="17"/>
          <w:szCs w:val="17"/>
          <w:lang w:eastAsia="en-GB"/>
        </w:rPr>
        <w:t>The researchers also found that the UK is investing more heavily in dementia research than elsewhere, accounting for 40% of all dementia research funding in the 15 countries studied but 25% of the total cost burden.</w:t>
      </w:r>
    </w:p>
    <w:p w14:paraId="5FAC19BE" w14:textId="77777777" w:rsidR="00EA1CCE" w:rsidRPr="00BD7831" w:rsidRDefault="00EA1CCE" w:rsidP="00EA1CCE">
      <w:pPr>
        <w:spacing w:before="75" w:after="150" w:line="408" w:lineRule="atLeast"/>
        <w:rPr>
          <w:rFonts w:ascii="Verdana" w:eastAsia="Times New Roman" w:hAnsi="Verdana" w:cs="Times New Roman"/>
          <w:sz w:val="17"/>
          <w:szCs w:val="17"/>
          <w:lang w:eastAsia="en-GB"/>
        </w:rPr>
      </w:pPr>
      <w:r w:rsidRPr="00BD7831">
        <w:rPr>
          <w:rFonts w:ascii="Verdana" w:eastAsia="Times New Roman" w:hAnsi="Verdana" w:cs="Times New Roman"/>
          <w:sz w:val="17"/>
          <w:szCs w:val="17"/>
          <w:lang w:eastAsia="en-GB"/>
        </w:rPr>
        <w:t>Despite this, the researchers note that a previous study in the UK found that dementia research was severely underfunded relative to its economic burden in comparison with research funding for coronary heart disease and cancer.</w:t>
      </w:r>
    </w:p>
    <w:p w14:paraId="68647905" w14:textId="77777777" w:rsidR="00EA1CCE" w:rsidRPr="00BD7831" w:rsidRDefault="00EA1CCE" w:rsidP="00EA1CCE">
      <w:pPr>
        <w:spacing w:before="75" w:after="150" w:line="408" w:lineRule="atLeast"/>
        <w:rPr>
          <w:rFonts w:ascii="Verdana" w:eastAsia="Times New Roman" w:hAnsi="Verdana" w:cs="Times New Roman"/>
          <w:sz w:val="17"/>
          <w:szCs w:val="17"/>
          <w:lang w:eastAsia="en-GB"/>
        </w:rPr>
      </w:pPr>
      <w:r w:rsidRPr="00BD7831">
        <w:rPr>
          <w:rFonts w:ascii="Verdana" w:eastAsia="Times New Roman" w:hAnsi="Verdana" w:cs="Times New Roman"/>
          <w:sz w:val="17"/>
          <w:szCs w:val="17"/>
          <w:lang w:eastAsia="en-GB"/>
        </w:rPr>
        <w:t>Rebecca Wood, Chief Executive of Alzheimer’s Research UK, said: ‘No life blighted by dementia will ever be just a statistic, but in an age of austerity, we have to make a strong economic case for investment in dementia research.</w:t>
      </w:r>
    </w:p>
    <w:p w14:paraId="71839D57" w14:textId="77777777" w:rsidR="00EA1CCE" w:rsidRPr="00BD7831" w:rsidRDefault="00EA1CCE" w:rsidP="00EA1CCE">
      <w:pPr>
        <w:spacing w:before="75" w:after="150" w:line="408" w:lineRule="atLeast"/>
        <w:rPr>
          <w:rFonts w:ascii="Verdana" w:eastAsia="Times New Roman" w:hAnsi="Verdana" w:cs="Times New Roman"/>
          <w:sz w:val="17"/>
          <w:szCs w:val="17"/>
          <w:lang w:eastAsia="en-GB"/>
        </w:rPr>
      </w:pPr>
      <w:r w:rsidRPr="00BD7831">
        <w:rPr>
          <w:rFonts w:ascii="Verdana" w:eastAsia="Times New Roman" w:hAnsi="Verdana" w:cs="Times New Roman"/>
          <w:sz w:val="17"/>
          <w:szCs w:val="17"/>
          <w:lang w:eastAsia="en-GB"/>
        </w:rPr>
        <w:t>This report shows the profound impact of dementia across Europe, particularly for unpaid carers – husbands, wives, sons and daughters – who bear such a burden in how society deals with the condition.</w:t>
      </w:r>
    </w:p>
    <w:p w14:paraId="6137FB5B" w14:textId="77777777" w:rsidR="00EA1CCE" w:rsidRPr="00BD7831" w:rsidRDefault="00EA1CCE" w:rsidP="00EA1CCE">
      <w:pPr>
        <w:spacing w:before="75" w:after="150" w:line="408" w:lineRule="atLeast"/>
        <w:rPr>
          <w:rFonts w:ascii="Verdana" w:eastAsia="Times New Roman" w:hAnsi="Verdana" w:cs="Times New Roman"/>
          <w:sz w:val="17"/>
          <w:szCs w:val="17"/>
          <w:lang w:eastAsia="en-GB"/>
        </w:rPr>
      </w:pPr>
      <w:r w:rsidRPr="00BD7831">
        <w:rPr>
          <w:rFonts w:ascii="Verdana" w:eastAsia="Times New Roman" w:hAnsi="Verdana" w:cs="Times New Roman"/>
          <w:sz w:val="17"/>
          <w:szCs w:val="17"/>
          <w:lang w:eastAsia="en-GB"/>
        </w:rPr>
        <w:t>Worryingly, these figures are set to increase as the population ages and dementia becomes ever more widespread.</w:t>
      </w:r>
    </w:p>
    <w:p w14:paraId="3BB2A980" w14:textId="77777777" w:rsidR="00EA1CCE" w:rsidRPr="00BD7831" w:rsidRDefault="00EA1CCE" w:rsidP="00EA1CCE">
      <w:pPr>
        <w:spacing w:before="75" w:after="150" w:line="408" w:lineRule="atLeast"/>
        <w:rPr>
          <w:rFonts w:ascii="Verdana" w:eastAsia="Times New Roman" w:hAnsi="Verdana" w:cs="Times New Roman"/>
          <w:sz w:val="17"/>
          <w:szCs w:val="17"/>
          <w:lang w:eastAsia="en-GB"/>
        </w:rPr>
      </w:pPr>
      <w:r w:rsidRPr="00BD7831">
        <w:rPr>
          <w:rFonts w:ascii="Verdana" w:eastAsia="Times New Roman" w:hAnsi="Verdana" w:cs="Times New Roman"/>
          <w:sz w:val="17"/>
          <w:szCs w:val="17"/>
          <w:lang w:eastAsia="en-GB"/>
        </w:rPr>
        <w:t>The only answer to dementia is research into treatments and preventions that can reduce its impact, improve individuals’ quality of life, or cure the condition.</w:t>
      </w:r>
    </w:p>
    <w:p w14:paraId="501D6C5D" w14:textId="77777777" w:rsidR="00EA1CCE" w:rsidRPr="00BD7831" w:rsidRDefault="00EA1CCE" w:rsidP="00EA1CCE">
      <w:pPr>
        <w:spacing w:before="75" w:after="150" w:line="408" w:lineRule="atLeast"/>
        <w:rPr>
          <w:rFonts w:ascii="Verdana" w:eastAsia="Times New Roman" w:hAnsi="Verdana" w:cs="Times New Roman"/>
          <w:sz w:val="17"/>
          <w:szCs w:val="17"/>
          <w:lang w:eastAsia="en-GB"/>
        </w:rPr>
      </w:pPr>
      <w:r w:rsidRPr="00BD7831">
        <w:rPr>
          <w:rFonts w:ascii="Verdana" w:eastAsia="Times New Roman" w:hAnsi="Verdana" w:cs="Times New Roman"/>
          <w:sz w:val="17"/>
          <w:szCs w:val="17"/>
          <w:lang w:eastAsia="en-GB"/>
        </w:rPr>
        <w:t xml:space="preserve">For more information please contact Dr Ramon </w:t>
      </w:r>
      <w:proofErr w:type="spellStart"/>
      <w:r w:rsidRPr="00BD7831">
        <w:rPr>
          <w:rFonts w:ascii="Verdana" w:eastAsia="Times New Roman" w:hAnsi="Verdana" w:cs="Times New Roman"/>
          <w:sz w:val="17"/>
          <w:szCs w:val="17"/>
          <w:lang w:eastAsia="en-GB"/>
        </w:rPr>
        <w:t>Luengo</w:t>
      </w:r>
      <w:proofErr w:type="spellEnd"/>
      <w:r w:rsidRPr="00BD7831">
        <w:rPr>
          <w:rFonts w:ascii="Verdana" w:eastAsia="Times New Roman" w:hAnsi="Verdana" w:cs="Times New Roman"/>
          <w:sz w:val="17"/>
          <w:szCs w:val="17"/>
          <w:lang w:eastAsia="en-GB"/>
        </w:rPr>
        <w:t xml:space="preserve">-Fernandez on 07505 469819, or </w:t>
      </w:r>
      <w:proofErr w:type="spellStart"/>
      <w:r w:rsidRPr="00BD7831">
        <w:rPr>
          <w:rFonts w:ascii="Verdana" w:eastAsia="Times New Roman" w:hAnsi="Verdana" w:cs="Times New Roman"/>
          <w:sz w:val="17"/>
          <w:szCs w:val="17"/>
          <w:lang w:eastAsia="en-GB"/>
        </w:rPr>
        <w:t>ramon.luengo-fernandez@dph.ox.ac.ukOr</w:t>
      </w:r>
      <w:proofErr w:type="spellEnd"/>
      <w:r w:rsidRPr="00BD7831">
        <w:rPr>
          <w:rFonts w:ascii="Verdana" w:eastAsia="Times New Roman" w:hAnsi="Verdana" w:cs="Times New Roman"/>
          <w:sz w:val="17"/>
          <w:szCs w:val="17"/>
          <w:lang w:eastAsia="en-GB"/>
        </w:rPr>
        <w:t xml:space="preserve"> the University of Oxford press office on 01865 280530 or press.office@admin.ox.ac.uk </w:t>
      </w:r>
    </w:p>
    <w:p w14:paraId="13D315F6" w14:textId="77777777" w:rsidR="00EA1CCE" w:rsidRPr="00BD7831" w:rsidRDefault="00EA1CCE" w:rsidP="00EA1CCE">
      <w:pPr>
        <w:spacing w:before="300" w:after="75" w:line="264" w:lineRule="atLeast"/>
        <w:outlineLvl w:val="2"/>
        <w:rPr>
          <w:rFonts w:ascii="Trebuchet MS" w:eastAsia="Times New Roman" w:hAnsi="Trebuchet MS" w:cs="Times New Roman"/>
          <w:b/>
          <w:bCs/>
          <w:lang w:eastAsia="en-GB"/>
        </w:rPr>
      </w:pPr>
      <w:r w:rsidRPr="00BD7831">
        <w:rPr>
          <w:rFonts w:ascii="Trebuchet MS" w:eastAsia="Times New Roman" w:hAnsi="Trebuchet MS" w:cs="Times New Roman"/>
          <w:b/>
          <w:bCs/>
          <w:lang w:eastAsia="en-GB"/>
        </w:rPr>
        <w:t>Notes for editors</w:t>
      </w:r>
    </w:p>
    <w:p w14:paraId="23FE409B" w14:textId="77777777" w:rsidR="00EA1CCE" w:rsidRPr="00BD7831" w:rsidRDefault="00EA1CCE" w:rsidP="00EA1CCE">
      <w:pPr>
        <w:numPr>
          <w:ilvl w:val="0"/>
          <w:numId w:val="1"/>
        </w:numPr>
        <w:spacing w:after="120" w:line="336" w:lineRule="atLeast"/>
        <w:ind w:left="870"/>
        <w:rPr>
          <w:rFonts w:ascii="Verdana" w:eastAsia="Times New Roman" w:hAnsi="Verdana" w:cs="Times New Roman"/>
          <w:sz w:val="17"/>
          <w:szCs w:val="17"/>
          <w:lang w:eastAsia="en-GB"/>
        </w:rPr>
      </w:pPr>
      <w:r w:rsidRPr="00BD7831">
        <w:rPr>
          <w:rFonts w:ascii="Verdana" w:eastAsia="Times New Roman" w:hAnsi="Verdana" w:cs="Times New Roman"/>
          <w:sz w:val="17"/>
          <w:szCs w:val="17"/>
          <w:lang w:eastAsia="en-GB"/>
        </w:rPr>
        <w:t>The study calculated costs for the 15 member countries in the EU prior to the accession of countries from Eastern Europe. They were: Austria, Belgium, Denmark, Finland, France, Germany, Greece, Ireland, Italy, Luxembourg, Netherlands, Portugal, Spain, Sweden, and the UK.</w:t>
      </w:r>
    </w:p>
    <w:p w14:paraId="6C0143A9" w14:textId="77777777" w:rsidR="00EA1CCE" w:rsidRPr="00BD7831" w:rsidRDefault="00EA1CCE" w:rsidP="00EA1CCE">
      <w:pPr>
        <w:numPr>
          <w:ilvl w:val="0"/>
          <w:numId w:val="1"/>
        </w:numPr>
        <w:spacing w:after="120" w:line="336" w:lineRule="atLeast"/>
        <w:ind w:left="870"/>
        <w:rPr>
          <w:rFonts w:ascii="Verdana" w:eastAsia="Times New Roman" w:hAnsi="Verdana" w:cs="Times New Roman"/>
          <w:sz w:val="17"/>
          <w:szCs w:val="17"/>
          <w:lang w:eastAsia="en-GB"/>
        </w:rPr>
      </w:pPr>
      <w:r w:rsidRPr="00BD7831">
        <w:rPr>
          <w:rFonts w:ascii="Verdana" w:eastAsia="Times New Roman" w:hAnsi="Verdana" w:cs="Times New Roman"/>
          <w:sz w:val="17"/>
          <w:szCs w:val="17"/>
          <w:lang w:eastAsia="en-GB"/>
        </w:rPr>
        <w:t>Healthcare costs included primary, in-patient, out-patient and emergency care, and medication.</w:t>
      </w:r>
    </w:p>
    <w:p w14:paraId="078DA3EF" w14:textId="77777777" w:rsidR="00EA1CCE" w:rsidRPr="00BD7831" w:rsidRDefault="00EA1CCE" w:rsidP="00EA1CCE">
      <w:pPr>
        <w:numPr>
          <w:ilvl w:val="0"/>
          <w:numId w:val="1"/>
        </w:numPr>
        <w:spacing w:after="120" w:line="336" w:lineRule="atLeast"/>
        <w:ind w:left="870"/>
        <w:rPr>
          <w:rFonts w:ascii="Verdana" w:eastAsia="Times New Roman" w:hAnsi="Verdana" w:cs="Times New Roman"/>
          <w:sz w:val="17"/>
          <w:szCs w:val="17"/>
          <w:lang w:eastAsia="en-GB"/>
        </w:rPr>
      </w:pPr>
      <w:r w:rsidRPr="00BD7831">
        <w:rPr>
          <w:rFonts w:ascii="Verdana" w:eastAsia="Times New Roman" w:hAnsi="Verdana" w:cs="Times New Roman"/>
          <w:sz w:val="17"/>
          <w:szCs w:val="17"/>
          <w:lang w:eastAsia="en-GB"/>
        </w:rPr>
        <w:t>Social care costs included institutionalisation in care homes (</w:t>
      </w:r>
      <w:proofErr w:type="spellStart"/>
      <w:r w:rsidRPr="00BD7831">
        <w:rPr>
          <w:rFonts w:ascii="Verdana" w:eastAsia="Times New Roman" w:hAnsi="Verdana" w:cs="Times New Roman"/>
          <w:sz w:val="17"/>
          <w:szCs w:val="17"/>
          <w:lang w:eastAsia="en-GB"/>
        </w:rPr>
        <w:t>eg</w:t>
      </w:r>
      <w:proofErr w:type="spellEnd"/>
      <w:r w:rsidRPr="00BD7831">
        <w:rPr>
          <w:rFonts w:ascii="Verdana" w:eastAsia="Times New Roman" w:hAnsi="Verdana" w:cs="Times New Roman"/>
          <w:sz w:val="17"/>
          <w:szCs w:val="17"/>
          <w:lang w:eastAsia="en-GB"/>
        </w:rPr>
        <w:t xml:space="preserve"> residential and nursing care homes). It did not include informal care costs and productivity loss, though these were included in the overall costs of €189 billion.</w:t>
      </w:r>
    </w:p>
    <w:p w14:paraId="5FD6ACEA" w14:textId="77777777" w:rsidR="00EA1CCE" w:rsidRPr="00BD7831" w:rsidRDefault="00EA1CCE" w:rsidP="00EA1CCE">
      <w:pPr>
        <w:numPr>
          <w:ilvl w:val="0"/>
          <w:numId w:val="1"/>
        </w:numPr>
        <w:spacing w:after="120" w:line="336" w:lineRule="atLeast"/>
        <w:ind w:left="870"/>
        <w:rPr>
          <w:rFonts w:ascii="Verdana" w:eastAsia="Times New Roman" w:hAnsi="Verdana" w:cs="Times New Roman"/>
          <w:sz w:val="17"/>
          <w:szCs w:val="17"/>
          <w:lang w:eastAsia="en-GB"/>
        </w:rPr>
      </w:pPr>
      <w:r w:rsidRPr="00BD7831">
        <w:rPr>
          <w:rFonts w:ascii="Verdana" w:eastAsia="Times New Roman" w:hAnsi="Verdana" w:cs="Times New Roman"/>
          <w:sz w:val="17"/>
          <w:szCs w:val="17"/>
          <w:lang w:eastAsia="en-GB"/>
        </w:rPr>
        <w:t xml:space="preserve">The final print version of the paper ‘Cost of dementia in the pre-enlargement countries of the European Union’ by Ramon </w:t>
      </w:r>
      <w:proofErr w:type="spellStart"/>
      <w:r w:rsidRPr="00BD7831">
        <w:rPr>
          <w:rFonts w:ascii="Verdana" w:eastAsia="Times New Roman" w:hAnsi="Verdana" w:cs="Times New Roman"/>
          <w:sz w:val="17"/>
          <w:szCs w:val="17"/>
          <w:lang w:eastAsia="en-GB"/>
        </w:rPr>
        <w:t>Luengo</w:t>
      </w:r>
      <w:proofErr w:type="spellEnd"/>
      <w:r w:rsidRPr="00BD7831">
        <w:rPr>
          <w:rFonts w:ascii="Verdana" w:eastAsia="Times New Roman" w:hAnsi="Verdana" w:cs="Times New Roman"/>
          <w:sz w:val="17"/>
          <w:szCs w:val="17"/>
          <w:lang w:eastAsia="en-GB"/>
        </w:rPr>
        <w:t xml:space="preserve">-Fernandez and colleagues will be published online on </w:t>
      </w:r>
      <w:r w:rsidRPr="00BD7831">
        <w:rPr>
          <w:rFonts w:ascii="Verdana" w:eastAsia="Times New Roman" w:hAnsi="Verdana" w:cs="Times New Roman"/>
          <w:sz w:val="17"/>
          <w:szCs w:val="17"/>
          <w:lang w:eastAsia="en-GB"/>
        </w:rPr>
        <w:lastRenderedPageBreak/>
        <w:t>Friday 28 October in the Journal of Alzheimer’s Disease. A pre-print online version is available at the journal with the DOI: 10.3233/JAD-2011-102019.</w:t>
      </w:r>
    </w:p>
    <w:p w14:paraId="49B4637A" w14:textId="77777777" w:rsidR="00EA1CCE" w:rsidRPr="00BD7831" w:rsidRDefault="00EA1CCE" w:rsidP="00EA1CCE">
      <w:pPr>
        <w:numPr>
          <w:ilvl w:val="0"/>
          <w:numId w:val="1"/>
        </w:numPr>
        <w:spacing w:after="120" w:line="336" w:lineRule="atLeast"/>
        <w:ind w:left="870"/>
        <w:rPr>
          <w:rFonts w:ascii="Verdana" w:eastAsia="Times New Roman" w:hAnsi="Verdana" w:cs="Times New Roman"/>
          <w:sz w:val="17"/>
          <w:szCs w:val="17"/>
          <w:lang w:eastAsia="en-GB"/>
        </w:rPr>
      </w:pPr>
      <w:r w:rsidRPr="00BD7831">
        <w:rPr>
          <w:rFonts w:ascii="Verdana" w:eastAsia="Times New Roman" w:hAnsi="Verdana" w:cs="Times New Roman"/>
          <w:sz w:val="17"/>
          <w:szCs w:val="17"/>
          <w:lang w:eastAsia="en-GB"/>
        </w:rPr>
        <w:t>The study was funded by Alzheimer’s Research UK.</w:t>
      </w:r>
    </w:p>
    <w:p w14:paraId="28590A53" w14:textId="77777777" w:rsidR="00301734" w:rsidRPr="00BD7831" w:rsidRDefault="00EA1CCE" w:rsidP="00EA1CCE">
      <w:pPr>
        <w:numPr>
          <w:ilvl w:val="0"/>
          <w:numId w:val="1"/>
        </w:numPr>
        <w:spacing w:line="336" w:lineRule="atLeast"/>
        <w:ind w:left="870"/>
        <w:rPr>
          <w:rFonts w:ascii="Verdana" w:eastAsia="Times New Roman" w:hAnsi="Verdana" w:cs="Times New Roman"/>
          <w:sz w:val="17"/>
          <w:szCs w:val="17"/>
          <w:lang w:eastAsia="en-GB"/>
        </w:rPr>
      </w:pPr>
      <w:r w:rsidRPr="00BD7831">
        <w:rPr>
          <w:rFonts w:ascii="Verdana" w:eastAsia="Times New Roman" w:hAnsi="Verdana" w:cs="Times New Roman"/>
          <w:b/>
          <w:bCs/>
          <w:sz w:val="17"/>
          <w:szCs w:val="17"/>
          <w:lang w:eastAsia="en-GB"/>
        </w:rPr>
        <w:t>Oxford University’s Medical Sciences Division</w:t>
      </w:r>
      <w:r w:rsidRPr="00BD7831">
        <w:rPr>
          <w:rFonts w:ascii="Verdana" w:eastAsia="Times New Roman" w:hAnsi="Verdana" w:cs="Times New Roman"/>
          <w:sz w:val="17"/>
          <w:szCs w:val="17"/>
          <w:lang w:eastAsia="en-GB"/>
        </w:rPr>
        <w:t xml:space="preserve"> is recognized internationally for its outstanding research and teaching, attracting the brightest minds from all over the world.</w:t>
      </w:r>
      <w:r w:rsidRPr="00BD7831">
        <w:rPr>
          <w:rFonts w:ascii="Verdana" w:eastAsia="Times New Roman" w:hAnsi="Verdana" w:cs="Times New Roman"/>
          <w:sz w:val="17"/>
          <w:szCs w:val="17"/>
          <w:lang w:eastAsia="en-GB"/>
        </w:rPr>
        <w:br/>
      </w:r>
      <w:r w:rsidRPr="00BD7831">
        <w:rPr>
          <w:rFonts w:ascii="Verdana" w:eastAsia="Times New Roman" w:hAnsi="Verdana" w:cs="Times New Roman"/>
          <w:sz w:val="17"/>
          <w:szCs w:val="17"/>
          <w:lang w:eastAsia="en-GB"/>
        </w:rPr>
        <w:br/>
        <w:t>It is one of the largest biomedical research centres in Europe, with over 2,500 people involved in research and more than 2,800 students, and brings in around two-thirds of Oxford University’s external research income. Listed by itself, that would make it the fifth largest university in the UK in terms of research grants and contracts.</w:t>
      </w:r>
      <w:r w:rsidRPr="00BD7831">
        <w:rPr>
          <w:rFonts w:ascii="Verdana" w:eastAsia="Times New Roman" w:hAnsi="Verdana" w:cs="Times New Roman"/>
          <w:sz w:val="17"/>
          <w:szCs w:val="17"/>
          <w:lang w:eastAsia="en-GB"/>
        </w:rPr>
        <w:br/>
      </w:r>
      <w:r w:rsidRPr="00BD7831">
        <w:rPr>
          <w:rFonts w:ascii="Verdana" w:eastAsia="Times New Roman" w:hAnsi="Verdana" w:cs="Times New Roman"/>
          <w:sz w:val="17"/>
          <w:szCs w:val="17"/>
          <w:lang w:eastAsia="en-GB"/>
        </w:rPr>
        <w:br/>
        <w:t>Oxford is home to the UK’s top-ranked medical school, and partnerships with the local NHS Trusts enable patients to benefit from the close links between medical research and healthcare delivery.</w:t>
      </w:r>
      <w:r w:rsidRPr="00BD7831">
        <w:rPr>
          <w:rFonts w:ascii="Verdana" w:eastAsia="Times New Roman" w:hAnsi="Verdana" w:cs="Times New Roman"/>
          <w:sz w:val="17"/>
          <w:szCs w:val="17"/>
          <w:lang w:eastAsia="en-GB"/>
        </w:rPr>
        <w:br/>
      </w:r>
      <w:r w:rsidRPr="00BD7831">
        <w:rPr>
          <w:rFonts w:ascii="Verdana" w:eastAsia="Times New Roman" w:hAnsi="Verdana" w:cs="Times New Roman"/>
          <w:sz w:val="17"/>
          <w:szCs w:val="17"/>
          <w:lang w:eastAsia="en-GB"/>
        </w:rPr>
        <w:br/>
        <w:t>14 winners of the Nobel Prize for Physiology or Medicine worked or were educated at Oxford, and the division is home to 29 Fellows of the Royal Society and 68 Fellows of the Academy of Medical Sciences.</w:t>
      </w:r>
      <w:r w:rsidRPr="00BD7831">
        <w:rPr>
          <w:rFonts w:ascii="Verdana" w:eastAsia="Times New Roman" w:hAnsi="Verdana" w:cs="Times New Roman"/>
          <w:sz w:val="17"/>
          <w:szCs w:val="17"/>
          <w:lang w:eastAsia="en-GB"/>
        </w:rPr>
        <w:br/>
      </w:r>
      <w:r w:rsidRPr="00BD7831">
        <w:rPr>
          <w:rFonts w:ascii="Verdana" w:eastAsia="Times New Roman" w:hAnsi="Verdana" w:cs="Times New Roman"/>
          <w:sz w:val="17"/>
          <w:szCs w:val="17"/>
          <w:lang w:eastAsia="en-GB"/>
        </w:rPr>
        <w:br/>
        <w:t>The development of penicillin at Oxford ushered in the modern age of antibiotics, and the confirmation of the link between smoking and cancer has prevented many millions of deaths. Oxford continues to be at the forefront of medical research, whether it’s the genetic and molecular basis of disease, the latest advances in neuroscience, or clinical studies in cancer, diabetes, heart disease and stroke. Oxford has one of the largest clinical trial portfolios in the UK and great expertise in taking discoveries from the lab into the clinic.</w:t>
      </w:r>
      <w:r w:rsidRPr="00BD7831">
        <w:rPr>
          <w:rFonts w:ascii="Verdana" w:eastAsia="Times New Roman" w:hAnsi="Verdana" w:cs="Times New Roman"/>
          <w:sz w:val="17"/>
          <w:szCs w:val="17"/>
          <w:lang w:eastAsia="en-GB"/>
        </w:rPr>
        <w:br/>
      </w:r>
      <w:r w:rsidRPr="00BD7831">
        <w:rPr>
          <w:rFonts w:ascii="Verdana" w:eastAsia="Times New Roman" w:hAnsi="Verdana" w:cs="Times New Roman"/>
          <w:sz w:val="17"/>
          <w:szCs w:val="17"/>
          <w:lang w:eastAsia="en-GB"/>
        </w:rPr>
        <w:br/>
        <w:t>A great strength of Oxford medicine is its long-standing network of clinical research units in Asia and Africa, enabling world-leading research on the most pressing global health challenges such as malaria, TB, HIV/AIDS and flu. Oxford is also renowned for its large-scale studies which examine the role of factors such as smoking, alcohol and diet on cancer, heart disease and other conditions. </w:t>
      </w:r>
      <w:bookmarkStart w:id="0" w:name="_GoBack"/>
      <w:bookmarkEnd w:id="0"/>
    </w:p>
    <w:sectPr w:rsidR="00301734" w:rsidRPr="00BD783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5F0661" w14:textId="77777777" w:rsidR="00EA1CCE" w:rsidRDefault="00EA1CCE" w:rsidP="00EA1CCE">
      <w:pPr>
        <w:spacing w:after="0" w:line="240" w:lineRule="auto"/>
      </w:pPr>
      <w:r>
        <w:separator/>
      </w:r>
    </w:p>
  </w:endnote>
  <w:endnote w:type="continuationSeparator" w:id="0">
    <w:p w14:paraId="4603FD5D" w14:textId="77777777" w:rsidR="00EA1CCE" w:rsidRDefault="00EA1CCE" w:rsidP="00EA1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EDE52B" w14:textId="77777777" w:rsidR="00EA1CCE" w:rsidRDefault="00EA1CCE" w:rsidP="00EA1CCE">
      <w:pPr>
        <w:spacing w:after="0" w:line="240" w:lineRule="auto"/>
      </w:pPr>
      <w:r>
        <w:separator/>
      </w:r>
    </w:p>
  </w:footnote>
  <w:footnote w:type="continuationSeparator" w:id="0">
    <w:p w14:paraId="5757B954" w14:textId="77777777" w:rsidR="00EA1CCE" w:rsidRDefault="00EA1CCE" w:rsidP="00EA1CC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278FB9" w14:textId="77777777" w:rsidR="00EA1CCE" w:rsidRDefault="00EA1CCE">
    <w:pPr>
      <w:pStyle w:val="Header"/>
    </w:pPr>
    <w:r>
      <w:t>Title: 7</w:t>
    </w:r>
  </w:p>
  <w:p w14:paraId="34C15D5C" w14:textId="77777777" w:rsidR="00EA1CCE" w:rsidRDefault="00EA1CCE">
    <w:pPr>
      <w:pStyle w:val="Header"/>
    </w:pPr>
    <w:r>
      <w:t>Body: 861</w:t>
    </w:r>
  </w:p>
  <w:p w14:paraId="79277241" w14:textId="77777777" w:rsidR="00EA1CCE" w:rsidRDefault="00EA1CCE">
    <w:pPr>
      <w:pStyle w:val="Header"/>
    </w:pPr>
    <w:r>
      <w:t>Sentences: 37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B58A1"/>
    <w:multiLevelType w:val="multilevel"/>
    <w:tmpl w:val="A786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CCE"/>
    <w:rsid w:val="002C2048"/>
    <w:rsid w:val="00B74E5B"/>
    <w:rsid w:val="00BB0810"/>
    <w:rsid w:val="00BD7831"/>
    <w:rsid w:val="00C108F1"/>
    <w:rsid w:val="00D36015"/>
    <w:rsid w:val="00EA1CC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C5A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A1CCE"/>
    <w:rPr>
      <w:b/>
      <w:bCs/>
    </w:rPr>
  </w:style>
  <w:style w:type="paragraph" w:styleId="Header">
    <w:name w:val="header"/>
    <w:basedOn w:val="Normal"/>
    <w:link w:val="HeaderChar"/>
    <w:uiPriority w:val="99"/>
    <w:unhideWhenUsed/>
    <w:rsid w:val="00EA1C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1CCE"/>
  </w:style>
  <w:style w:type="paragraph" w:styleId="Footer">
    <w:name w:val="footer"/>
    <w:basedOn w:val="Normal"/>
    <w:link w:val="FooterChar"/>
    <w:uiPriority w:val="99"/>
    <w:unhideWhenUsed/>
    <w:rsid w:val="00EA1C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1CC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A1CCE"/>
    <w:rPr>
      <w:b/>
      <w:bCs/>
    </w:rPr>
  </w:style>
  <w:style w:type="paragraph" w:styleId="Header">
    <w:name w:val="header"/>
    <w:basedOn w:val="Normal"/>
    <w:link w:val="HeaderChar"/>
    <w:uiPriority w:val="99"/>
    <w:unhideWhenUsed/>
    <w:rsid w:val="00EA1C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1CCE"/>
  </w:style>
  <w:style w:type="paragraph" w:styleId="Footer">
    <w:name w:val="footer"/>
    <w:basedOn w:val="Normal"/>
    <w:link w:val="FooterChar"/>
    <w:uiPriority w:val="99"/>
    <w:unhideWhenUsed/>
    <w:rsid w:val="00EA1C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1C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738582">
      <w:bodyDiv w:val="1"/>
      <w:marLeft w:val="0"/>
      <w:marRight w:val="0"/>
      <w:marTop w:val="0"/>
      <w:marBottom w:val="0"/>
      <w:divBdr>
        <w:top w:val="none" w:sz="0" w:space="0" w:color="auto"/>
        <w:left w:val="none" w:sz="0" w:space="0" w:color="auto"/>
        <w:bottom w:val="none" w:sz="0" w:space="0" w:color="auto"/>
        <w:right w:val="none" w:sz="0" w:space="0" w:color="auto"/>
      </w:divBdr>
      <w:divsChild>
        <w:div w:id="10449346">
          <w:marLeft w:val="0"/>
          <w:marRight w:val="0"/>
          <w:marTop w:val="0"/>
          <w:marBottom w:val="225"/>
          <w:divBdr>
            <w:top w:val="none" w:sz="0" w:space="0" w:color="auto"/>
            <w:left w:val="none" w:sz="0" w:space="0" w:color="auto"/>
            <w:bottom w:val="none" w:sz="0" w:space="0" w:color="auto"/>
            <w:right w:val="none" w:sz="0" w:space="0" w:color="auto"/>
          </w:divBdr>
          <w:divsChild>
            <w:div w:id="184712921">
              <w:marLeft w:val="0"/>
              <w:marRight w:val="0"/>
              <w:marTop w:val="0"/>
              <w:marBottom w:val="0"/>
              <w:divBdr>
                <w:top w:val="none" w:sz="0" w:space="0" w:color="auto"/>
                <w:left w:val="none" w:sz="0" w:space="0" w:color="auto"/>
                <w:bottom w:val="none" w:sz="0" w:space="0" w:color="auto"/>
                <w:right w:val="none" w:sz="0" w:space="0" w:color="auto"/>
              </w:divBdr>
              <w:divsChild>
                <w:div w:id="1330206670">
                  <w:marLeft w:val="0"/>
                  <w:marRight w:val="4"/>
                  <w:marTop w:val="75"/>
                  <w:marBottom w:val="0"/>
                  <w:divBdr>
                    <w:top w:val="none" w:sz="0" w:space="0" w:color="auto"/>
                    <w:left w:val="none" w:sz="0" w:space="0" w:color="auto"/>
                    <w:bottom w:val="none" w:sz="0" w:space="0" w:color="auto"/>
                    <w:right w:val="none" w:sz="0" w:space="0" w:color="auto"/>
                  </w:divBdr>
                  <w:divsChild>
                    <w:div w:id="1382709479">
                      <w:marLeft w:val="0"/>
                      <w:marRight w:val="0"/>
                      <w:marTop w:val="0"/>
                      <w:marBottom w:val="0"/>
                      <w:divBdr>
                        <w:top w:val="none" w:sz="0" w:space="0" w:color="auto"/>
                        <w:left w:val="none" w:sz="0" w:space="0" w:color="auto"/>
                        <w:bottom w:val="none" w:sz="0" w:space="0" w:color="auto"/>
                        <w:right w:val="none" w:sz="0" w:space="0" w:color="auto"/>
                      </w:divBdr>
                    </w:div>
                    <w:div w:id="1330327145">
                      <w:marLeft w:val="0"/>
                      <w:marRight w:val="0"/>
                      <w:marTop w:val="0"/>
                      <w:marBottom w:val="0"/>
                      <w:divBdr>
                        <w:top w:val="none" w:sz="0" w:space="0" w:color="auto"/>
                        <w:left w:val="none" w:sz="0" w:space="0" w:color="auto"/>
                        <w:bottom w:val="none" w:sz="0" w:space="0" w:color="auto"/>
                        <w:right w:val="none" w:sz="0" w:space="0" w:color="auto"/>
                      </w:divBdr>
                    </w:div>
                    <w:div w:id="1123380267">
                      <w:marLeft w:val="0"/>
                      <w:marRight w:val="0"/>
                      <w:marTop w:val="0"/>
                      <w:marBottom w:val="0"/>
                      <w:divBdr>
                        <w:top w:val="none" w:sz="0" w:space="0" w:color="auto"/>
                        <w:left w:val="none" w:sz="0" w:space="0" w:color="auto"/>
                        <w:bottom w:val="none" w:sz="0" w:space="0" w:color="auto"/>
                        <w:right w:val="none" w:sz="0" w:space="0" w:color="auto"/>
                      </w:divBdr>
                      <w:divsChild>
                        <w:div w:id="15842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1266</Words>
  <Characters>7218</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8468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Solveiga Stonkute</cp:lastModifiedBy>
  <cp:revision>3</cp:revision>
  <dcterms:created xsi:type="dcterms:W3CDTF">2013-02-20T15:26:00Z</dcterms:created>
  <dcterms:modified xsi:type="dcterms:W3CDTF">2014-11-07T18:02:00Z</dcterms:modified>
</cp:coreProperties>
</file>