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1C7A37">
      <w:pPr>
        <w:pStyle w:val="159"/>
        <w:pBdr/>
        <w:spacing/>
        <w:ind/>
        <w:rPr>
          <w:rFonts w:ascii="Times New Roman" w:hAnsi="Times New Roman" w:cs="Times New Roman"/>
          <w:sz w:val="56"/>
          <w:szCs w:val="56"/>
        </w:rPr>
      </w:pPr>
      <w:r>
        <w:rPr>
          <w:rFonts w:ascii="Times New Roman" w:hAnsi="Times New Roman" w:eastAsia="Times New Roman" w:cs="Times New Roman"/>
          <w:sz w:val="56"/>
          <w:szCs w:val="56"/>
        </w:rPr>
        <w:t xml:space="preserve">Cơ chế bảo vệ dữ liệu của Hệ quản trị CSDL.</w:t>
      </w:r>
      <w:r>
        <w:rPr>
          <w:rFonts w:ascii="Times New Roman" w:hAnsi="Times New Roman" w:eastAsia="Times New Roman" w:cs="Times New Roman"/>
          <w:sz w:val="56"/>
          <w:szCs w:val="56"/>
        </w:rPr>
      </w:r>
    </w:p>
    <w:p w14:paraId="553457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Khái niệm quan trọng nhất em cần khắc cốt ghi tâm là ACID (4 nguyên tắc vàng của một giao dịch CSDL):</w:t>
      </w:r>
      <w:r>
        <w:rPr>
          <w:rFonts w:ascii="Times New Roman" w:hAnsi="Times New Roman" w:eastAsia="Times New Roman" w:cs="Times New Roman"/>
          <w:sz w:val="28"/>
          <w:szCs w:val="28"/>
        </w:rPr>
      </w:r>
    </w:p>
    <w:p w14:paraId="7212908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A - Atomicity (Tính nguyên tử - "Tất cả hoặc không gì cả"): Hãy tưởng tượng em chuyển 500k cho bạn. Hệ thống sẽ trừ 500k của em, và cộng 500k cho bạn. Nếu trừ tiền em xong thì... cúp điện, hệ thống chưa kịp cộng tiền cho bạn. Tính "Nguyên tử" bắt buộc hệ t</w:t>
      </w:r>
      <w:r>
        <w:rPr>
          <w:rFonts w:ascii="Times New Roman" w:hAnsi="Times New Roman" w:eastAsia="Times New Roman" w:cs="Times New Roman"/>
          <w:sz w:val="28"/>
          <w:szCs w:val="28"/>
        </w:rPr>
        <w:t xml:space="preserve">hống phải tự động hủy (Rollback) lệnh trừ tiền của em, trả lại mốc ban đầu. Tiền không thể tự nhiên bốc hơi.</w:t>
      </w:r>
      <w:r>
        <w:rPr>
          <w:rFonts w:ascii="Times New Roman" w:hAnsi="Times New Roman" w:eastAsia="Times New Roman" w:cs="Times New Roman"/>
          <w:sz w:val="28"/>
          <w:szCs w:val="28"/>
        </w:rPr>
      </w:r>
    </w:p>
    <w:p w14:paraId="05FB4D4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C - Consistency (Tính nhất quán): Mọi giao dịch không được phá vỡ các quy tắc đã thiết lập (ví dụ: số dư tài khoản không được âm).</w:t>
      </w:r>
      <w:r>
        <w:rPr>
          <w:rFonts w:ascii="Times New Roman" w:hAnsi="Times New Roman" w:eastAsia="Times New Roman" w:cs="Times New Roman"/>
          <w:sz w:val="28"/>
          <w:szCs w:val="28"/>
        </w:rPr>
      </w:r>
    </w:p>
    <w:p w14:paraId="15D2BD8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I - Isolation (Tính cô lập): Khi hai người cùng thao tác trên một dữ liệu, hệ thống phải cho họ xếp hàng. Không để giao dịch của người này làm "nhiễu" giao dịch của người kia đang chạy dở.</w:t>
      </w:r>
      <w:r>
        <w:rPr>
          <w:rFonts w:ascii="Times New Roman" w:hAnsi="Times New Roman" w:eastAsia="Times New Roman" w:cs="Times New Roman"/>
          <w:sz w:val="28"/>
          <w:szCs w:val="28"/>
        </w:rPr>
      </w:r>
    </w:p>
    <w:p w14:paraId="00DD8E2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D - Durability (Tính bền vững): Một khi hệ thống báo "Giao dịch thành công", dữ liệu đó phải tồn tại vĩnh viễn dù sau đó máy chủ có bị cháy ổ cứng hay sập nguồn.</w:t>
      </w:r>
      <w:r>
        <w:rPr>
          <w:rFonts w:ascii="Times New Roman" w:hAnsi="Times New Roman" w:eastAsia="Times New Roman" w:cs="Times New Roman"/>
          <w:sz w:val="28"/>
          <w:szCs w:val="28"/>
        </w:rPr>
      </w:r>
    </w:p>
    <w:p w14:paraId="377C56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Những ứng dụng như ngân hàng, Shopee, hay hệ thống đặt vé máy bay cực kỳ "tôn thờ" nguyên tắc ACID này.</w:t>
      </w:r>
      <w:r>
        <w:rPr>
          <w:rFonts w:ascii="Times New Roman" w:hAnsi="Times New Roman" w:eastAsia="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3D7B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2026-05-05T03:01:12Z</dcterms:modified>
</cp:coreProperties>
</file>