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4E79"/>
          <w:sz w:val="32"/>
          <w:szCs w:val="32"/>
        </w:rPr>
        <w:t xml:space="preserve">PROJECT REPORT</w:t>
      </w:r>
    </w:p>
    <w:p>
      <w:pPr>
        <w:spacing w:after="400"/>
      </w:pPr>
    </w:p>
    <w:p>
      <w:pPr>
        <w:jc w:val="center"/>
      </w:pPr>
      <w:r>
        <w:rPr>
          <w:b/>
          <w:bCs/>
          <w:sz w:val="40"/>
          <w:szCs w:val="40"/>
        </w:rPr>
        <w:t xml:space="preserve">Brain Tumor Classification using Convolutional Neural Networks (CNN) on MRI Images</w:t>
      </w:r>
    </w:p>
    <w:p>
      <w:pPr>
        <w:spacing w:after="800"/>
      </w:pPr>
    </w:p>
    <w:p>
      <w:pPr>
        <w:jc w:val="center"/>
      </w:pPr>
      <w:r>
        <w:rPr>
          <w:i/>
          <w:iCs/>
          <w:color w:val="444444"/>
          <w:sz w:val="24"/>
          <w:szCs w:val="24"/>
        </w:rPr>
        <w:t xml:space="preserve">A Deep Learning Approach to 4-Class MRI Tumor Diagnosis Support</w:t>
      </w:r>
    </w:p>
    <w:p>
      <w:pPr>
        <w:spacing w:before="1600"/>
      </w:pPr>
    </w:p>
    <w:p>
      <w:pPr>
        <w:jc w:val="center"/>
      </w:pPr>
      <w:r>
        <w:rPr>
          <w:color w:val="444444"/>
          <w:sz w:val="22"/>
          <w:szCs w:val="22"/>
        </w:rPr>
        <w:t xml:space="preserve">Submitted by</w:t>
      </w:r>
    </w:p>
    <w:p>
      <w:pPr>
        <w:spacing w:before="120"/>
        <w:jc w:val="center"/>
      </w:pPr>
      <w:r>
        <w:rPr>
          <w:b/>
          <w:bCs/>
          <w:sz w:val="30"/>
          <w:szCs w:val="30"/>
        </w:rPr>
        <w:t xml:space="preserve">Sushant Tiwari</w:t>
      </w:r>
    </w:p>
    <w:p>
      <w:pPr>
        <w:spacing w:before="1600"/>
      </w:pPr>
    </w:p>
    <w:p>
      <w:pPr>
        <w:jc w:val="center"/>
      </w:pPr>
      <w:r>
        <w:rPr>
          <w:color w:val="444444"/>
          <w:sz w:val="22"/>
          <w:szCs w:val="22"/>
        </w:rPr>
        <w:t xml:space="preserve">July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1. Objective</w:t>
      </w:r>
    </w:p>
    <w:p>
      <w:pPr>
        <w:spacing w:after="160" w:line="300"/>
      </w:pPr>
      <w:r>
        <w:t xml:space="preserve">The objective of this project is to build and evaluate a Convolutional Neural Network (CNN) capable of classifying brain MRI scans into four categories: Glioma, Meningioma, No Tumor, and Pituitary tumor. The target set for this project was a minimum test accuracy of 90%.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2. Dataset</w:t>
      </w:r>
    </w:p>
    <w:p>
      <w:pPr>
        <w:spacing w:after="160" w:line="300"/>
      </w:pPr>
      <w:r>
        <w:t xml:space="preserve">The project uses the Brain Tumor MRI Dataset, sourced from Kaggle:</w:t>
      </w:r>
    </w:p>
    <w:p>
      <w:pPr>
        <w:spacing w:after="160" w:line="300"/>
      </w:pPr>
      <w:r>
        <w:rPr>
          <w:color w:val="1155CC"/>
          <w:u w:val="single"/>
        </w:rPr>
        <w:t xml:space="preserve">https://www.kaggle.com/datasets/masoudnickparvar/brain-tumor-mri-dataset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CE6F1" w:val="clear"/>
          </w:tcPr>
          <w:p>
            <w:r>
              <w:rPr>
                <w:b/>
                <w:bCs/>
              </w:rPr>
              <w:t xml:space="preserve">Total training images</w:t>
            </w:r>
          </w:p>
        </w:tc>
        <w:tc>
          <w:tcPr>
            <w:tcW w:type="dxa" w:w="6000"/>
          </w:tcPr>
          <w:p>
            <w:r>
              <w:t xml:space="preserve">5,600 (1,400 per class)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b/>
                <w:bCs/>
              </w:rPr>
              <w:t xml:space="preserve">Total testing images</w:t>
            </w:r>
          </w:p>
        </w:tc>
        <w:tc>
          <w:tcPr>
            <w:tcW w:type="dxa" w:w="6000"/>
          </w:tcPr>
          <w:p>
            <w:r>
              <w:t xml:space="preserve">1,600 (400 per class)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b/>
                <w:bCs/>
              </w:rPr>
              <w:t xml:space="preserve">Classes</w:t>
            </w:r>
          </w:p>
        </w:tc>
        <w:tc>
          <w:tcPr>
            <w:tcW w:type="dxa" w:w="6000"/>
          </w:tcPr>
          <w:p>
            <w:r>
              <w:t xml:space="preserve">Glioma, Meningioma, No Tumor, Pituitary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b/>
                <w:bCs/>
              </w:rPr>
              <w:t xml:space="preserve">Original image size</w:t>
            </w:r>
          </w:p>
        </w:tc>
        <w:tc>
          <w:tcPr>
            <w:tcW w:type="dxa" w:w="6000"/>
          </w:tcPr>
          <w:p>
            <w:r>
              <w:t xml:space="preserve">512 × 512 pixels, grayscale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b/>
                <w:bCs/>
              </w:rPr>
              <w:t xml:space="preserve">Resized input</w:t>
            </w:r>
          </w:p>
        </w:tc>
        <w:tc>
          <w:tcPr>
            <w:tcW w:type="dxa" w:w="6000"/>
          </w:tcPr>
          <w:p>
            <w:r>
              <w:t xml:space="preserve">64 × 64 pixels, grayscale</w:t>
            </w:r>
          </w:p>
        </w:tc>
      </w:tr>
    </w:tbl>
    <w:p>
      <w:pPr>
        <w:spacing w:before="200"/>
      </w:pPr>
    </w:p>
    <w:p>
      <w:pPr>
        <w:spacing w:after="160" w:line="300"/>
      </w:pPr>
      <w:r>
        <w:t xml:space="preserve">Figure 1 below shows one representative MRI slice from each of the four classes.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444444"/>
          <w:sz w:val="18"/>
          <w:szCs w:val="18"/>
        </w:rPr>
        <w:t xml:space="preserve">Figure 1: Sample MRI images, one from each category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3. Libraries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TensorFlow / Keras — model definition, training, and inference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NumPy — array and image tensor handling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Pillow (PIL) — image loading and preprocessing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scikit-learn — classification report and confusion matrix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Matplotlib / Seaborn — training curves and confusion matrix visualization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opendatasets — Kaggle dataset download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Flask — web application backend serving the trained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pytest — automated test suite for the deployed application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4. Methodology</w:t>
      </w:r>
    </w:p>
    <w:p>
      <w:pPr>
        <w:spacing w:after="160" w:line="300"/>
      </w:pPr>
      <w:r>
        <w:rPr>
          <w:b/>
          <w:bCs/>
        </w:rPr>
        <w:t xml:space="preserve">4.1  Data Understanding</w:t>
      </w:r>
    </w:p>
    <w:p>
      <w:pPr>
        <w:spacing w:after="160" w:line="300"/>
      </w:pPr>
      <w:r>
        <w:t xml:space="preserve">The dataset was inspected to confirm class balance (1,400/400 images per class across Training/Testing splits) and to verify that images are single-channel grayscale MRI slices at their native 512×512 resolution.</w:t>
      </w:r>
    </w:p>
    <w:p>
      <w:pPr>
        <w:spacing w:after="160" w:line="300"/>
      </w:pPr>
      <w:r>
        <w:rPr>
          <w:b/>
          <w:bCs/>
        </w:rPr>
        <w:t xml:space="preserve">4.2  Preprocessing</w:t>
      </w:r>
    </w:p>
    <w:p>
      <w:pPr>
        <w:spacing w:after="160" w:line="300"/>
      </w:pPr>
      <w:r>
        <w:t xml:space="preserve">Images were resized to 64×64 pixels and pixel values rescaled to the [0, 1] range. Data was loaded using Keras' ImageDataGenerator in grayscale mode. Mild data augmentation — up to 10° rotation, 5% width/height shift, horizontal flip, and 5% zoom — was applied to the training set only, to reduce overfitting without distorting diagnostically relevant features.</w:t>
      </w:r>
    </w:p>
    <w:p>
      <w:pPr>
        <w:spacing w:after="160" w:line="300"/>
      </w:pPr>
      <w:r>
        <w:rPr>
          <w:b/>
          <w:bCs/>
        </w:rPr>
        <w:t xml:space="preserve">4.3  Model Development</w:t>
      </w:r>
    </w:p>
    <w:p>
      <w:pPr>
        <w:spacing w:after="160" w:line="300"/>
      </w:pPr>
      <w:r>
        <w:t xml:space="preserve">A 3-block CNN was designed using GlobalAveragePooling2D instead of a Flatten layer, keeping the total parameter count low (~305K) to reduce overfitting risk given the moderate dataset size. Full architecture details are in Section 5.</w:t>
      </w:r>
    </w:p>
    <w:p>
      <w:pPr>
        <w:spacing w:after="160" w:line="300"/>
      </w:pPr>
      <w:r>
        <w:rPr>
          <w:b/>
          <w:bCs/>
        </w:rPr>
        <w:t xml:space="preserve">4.4  Training</w:t>
      </w:r>
    </w:p>
    <w:p>
      <w:pPr>
        <w:spacing w:after="160" w:line="300"/>
      </w:pPr>
      <w:r>
        <w:t xml:space="preserve">The model was trained using the Adam optimizer with sparse categorical cross-entropy loss, for up to 40 epochs. ReduceLROnPlateau halved the learning rate after 4 stagnant validation-loss epochs, and EarlyStopping (patience 12, monitoring validation accuracy) restored the best-performing weights.</w:t>
      </w:r>
    </w:p>
    <w:p>
      <w:pPr>
        <w:spacing w:after="160" w:line="300"/>
      </w:pPr>
      <w:r>
        <w:rPr>
          <w:b/>
          <w:bCs/>
        </w:rPr>
        <w:t xml:space="preserve">4.5  Evaluation</w:t>
      </w:r>
    </w:p>
    <w:p>
      <w:pPr>
        <w:spacing w:after="160" w:line="300"/>
      </w:pPr>
      <w:r>
        <w:t xml:space="preserve">The trained model was evaluated on the held-out test set using overall accuracy/loss, a per-class classification report (precision, recall, F1-score), and a confusion matrix.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5. Model Architecture</w:t>
      </w:r>
    </w:p>
    <w:p>
      <w:pPr>
        <w:spacing w:after="160" w:line="300"/>
      </w:pPr>
      <w:r>
        <w:t xml:space="preserve">Input: 64 × 64 × 1 grayscale image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Block</w:t>
            </w:r>
          </w:p>
        </w:tc>
        <w:tc>
          <w:tcPr>
            <w:tcW w:type="dxa" w:w="6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Layers</w:t>
            </w:r>
          </w:p>
        </w:tc>
      </w:tr>
      <w:tr>
        <w:tc>
          <w:tcPr>
            <w:tcW w:type="dxa" w:w="2500"/>
          </w:tcPr>
          <w:p>
            <w:r>
              <w:t xml:space="preserve">Conv Block 1</w:t>
            </w:r>
          </w:p>
        </w:tc>
        <w:tc>
          <w:tcPr>
            <w:tcW w:type="dxa" w:w="6500"/>
          </w:tcPr>
          <w:p>
            <w:r>
              <w:t xml:space="preserve">Conv2D(32) → BatchNorm → Conv2D(32) → BatchNorm → MaxPool(2×2) → Dropout(0.25)</w:t>
            </w:r>
          </w:p>
        </w:tc>
      </w:tr>
      <w:tr>
        <w:tc>
          <w:tcPr>
            <w:tcW w:type="dxa" w:w="2500"/>
          </w:tcPr>
          <w:p>
            <w:r>
              <w:t xml:space="preserve">Conv Block 2</w:t>
            </w:r>
          </w:p>
        </w:tc>
        <w:tc>
          <w:tcPr>
            <w:tcW w:type="dxa" w:w="6500"/>
          </w:tcPr>
          <w:p>
            <w:r>
              <w:t xml:space="preserve">Conv2D(64) → BatchNorm → Conv2D(64) → BatchNorm → MaxPool(2×2) → Dropout(0.25)</w:t>
            </w:r>
          </w:p>
        </w:tc>
      </w:tr>
      <w:tr>
        <w:tc>
          <w:tcPr>
            <w:tcW w:type="dxa" w:w="2500"/>
          </w:tcPr>
          <w:p>
            <w:r>
              <w:t xml:space="preserve">Conv Block 3</w:t>
            </w:r>
          </w:p>
        </w:tc>
        <w:tc>
          <w:tcPr>
            <w:tcW w:type="dxa" w:w="6500"/>
          </w:tcPr>
          <w:p>
            <w:r>
              <w:t xml:space="preserve">Conv2D(128) → BatchNorm → Conv2D(128) → BatchNorm → MaxPool(2×2) → Dropout(0.25)</w:t>
            </w:r>
          </w:p>
        </w:tc>
      </w:tr>
      <w:tr>
        <w:tc>
          <w:tcPr>
            <w:tcW w:type="dxa" w:w="2500"/>
          </w:tcPr>
          <w:p>
            <w:r>
              <w:t xml:space="preserve">Classification Head</w:t>
            </w:r>
          </w:p>
        </w:tc>
        <w:tc>
          <w:tcPr>
            <w:tcW w:type="dxa" w:w="6500"/>
          </w:tcPr>
          <w:p>
            <w:r>
              <w:t xml:space="preserve">GlobalAveragePooling2D → Dense(128, ReLU) → Dropout(0.5) → Dense(4, Softmax)</w:t>
            </w:r>
          </w:p>
        </w:tc>
      </w:tr>
    </w:tbl>
    <w:p>
      <w:pPr>
        <w:spacing w:before="200"/>
      </w:pPr>
    </w:p>
    <w:p>
      <w:pPr>
        <w:spacing w:after="160" w:line="300"/>
      </w:pPr>
      <w:r>
        <w:t xml:space="preserve">Total parameters: 305,252 (304,356 trainable, 896 non-trainable). Optimizer: Adam. Loss function: sparse categorical cross-entropy.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6. Results</w:t>
      </w:r>
    </w:p>
    <w:p>
      <w:pPr>
        <w:spacing w:after="160" w:line="300"/>
      </w:pPr>
      <w:r>
        <w:rPr>
          <w:b/>
          <w:bCs/>
        </w:rPr>
        <w:t xml:space="preserve">6.1  Overall Performance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t xml:space="preserve">Final training accuracy</w:t>
            </w:r>
          </w:p>
        </w:tc>
        <w:tc>
          <w:tcPr>
            <w:tcW w:type="dxa" w:w="4500"/>
          </w:tcPr>
          <w:p>
            <w:r>
              <w:t xml:space="preserve">98.36%</w:t>
            </w:r>
          </w:p>
        </w:tc>
      </w:tr>
      <w:tr>
        <w:tc>
          <w:tcPr>
            <w:tcW w:type="dxa" w:w="4500"/>
          </w:tcPr>
          <w:p>
            <w:r>
              <w:t xml:space="preserve">Best validation accuracy</w:t>
            </w:r>
          </w:p>
        </w:tc>
        <w:tc>
          <w:tcPr>
            <w:tcW w:type="dxa" w:w="4500"/>
          </w:tcPr>
          <w:p>
            <w:r>
              <w:t xml:space="preserve">91.75%</w:t>
            </w:r>
          </w:p>
        </w:tc>
      </w:tr>
      <w:tr>
        <w:tc>
          <w:tcPr>
            <w:tcW w:type="dxa" w:w="4500"/>
          </w:tcPr>
          <w:p>
            <w:r>
              <w:t xml:space="preserve">Test accuracy</w:t>
            </w:r>
          </w:p>
        </w:tc>
        <w:tc>
          <w:tcPr>
            <w:tcW w:type="dxa" w:w="4500"/>
          </w:tcPr>
          <w:p>
            <w:r>
              <w:t xml:space="preserve">91.75% (target: 90%)</w:t>
            </w:r>
          </w:p>
        </w:tc>
      </w:tr>
      <w:tr>
        <w:tc>
          <w:tcPr>
            <w:tcW w:type="dxa" w:w="4500"/>
          </w:tcPr>
          <w:p>
            <w:r>
              <w:t xml:space="preserve">Test loss</w:t>
            </w:r>
          </w:p>
        </w:tc>
        <w:tc>
          <w:tcPr>
            <w:tcW w:type="dxa" w:w="4500"/>
          </w:tcPr>
          <w:p>
            <w:r>
              <w:t xml:space="preserve">0.7496</w:t>
            </w:r>
          </w:p>
        </w:tc>
      </w:tr>
      <w:tr>
        <w:tc>
          <w:tcPr>
            <w:tcW w:type="dxa" w:w="4500"/>
          </w:tcPr>
          <w:p>
            <w:r>
              <w:t xml:space="preserve">Train/validation accuracy gap</w:t>
            </w:r>
          </w:p>
        </w:tc>
        <w:tc>
          <w:tcPr>
            <w:tcW w:type="dxa" w:w="4500"/>
          </w:tcPr>
          <w:p>
            <w:r>
              <w:t xml:space="preserve">6.61% (mild overfitting; still above target)</w:t>
            </w:r>
          </w:p>
        </w:tc>
      </w:tr>
    </w:tbl>
    <w:p>
      <w:pPr>
        <w:spacing w:before="300"/>
      </w:pPr>
    </w:p>
    <w:p>
      <w:pPr>
        <w:spacing w:after="160" w:line="300"/>
      </w:pPr>
      <w:r>
        <w:t xml:space="preserve">Figure 2 below shows training vs. validation accuracy and loss across epochs.</w:t>
      </w:r>
    </w:p>
    <w:p>
      <w:pPr>
        <w:spacing w:after="100" w:before="100"/>
        <w:jc w:val="center"/>
      </w:pPr>
      <w:r>
        <w:drawing>
          <wp:inline distT="0" distB="0" distL="0" distR="0">
            <wp:extent cx="49530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444444"/>
          <w:sz w:val="18"/>
          <w:szCs w:val="18"/>
        </w:rPr>
        <w:t xml:space="preserve">Figure 2: Training vs. validation accuracy and loss curves</w:t>
      </w:r>
    </w:p>
    <w:p>
      <w:pPr>
        <w:spacing w:before="300"/>
      </w:pPr>
    </w:p>
    <w:p>
      <w:pPr>
        <w:spacing w:after="160" w:line="300"/>
      </w:pPr>
      <w:r>
        <w:rPr>
          <w:b/>
          <w:bCs/>
        </w:rPr>
        <w:t xml:space="preserve">6.2  Per-Class Performance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Precision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Recall</w:t>
            </w:r>
          </w:p>
        </w:tc>
        <w:tc>
          <w:tcPr>
            <w:tcW w:type="dxa" w:w="225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F1-score</w:t>
            </w:r>
          </w:p>
        </w:tc>
      </w:tr>
      <w:tr>
        <w:tc>
          <w:tcPr>
            <w:tcW w:type="dxa" w:w="2250"/>
          </w:tcPr>
          <w:p>
            <w:r>
              <w:t xml:space="preserve">Glioma</w:t>
            </w:r>
          </w:p>
        </w:tc>
        <w:tc>
          <w:tcPr>
            <w:tcW w:type="dxa" w:w="2250"/>
          </w:tcPr>
          <w:p>
            <w:r>
              <w:t xml:space="preserve">0.99</w:t>
            </w:r>
          </w:p>
        </w:tc>
        <w:tc>
          <w:tcPr>
            <w:tcW w:type="dxa" w:w="2250"/>
          </w:tcPr>
          <w:p>
            <w:r>
              <w:t xml:space="preserve">0.76</w:t>
            </w:r>
          </w:p>
        </w:tc>
        <w:tc>
          <w:tcPr>
            <w:tcW w:type="dxa" w:w="2250"/>
          </w:tcPr>
          <w:p>
            <w:r>
              <w:t xml:space="preserve">0.86</w:t>
            </w:r>
          </w:p>
        </w:tc>
      </w:tr>
      <w:tr>
        <w:tc>
          <w:tcPr>
            <w:tcW w:type="dxa" w:w="2250"/>
          </w:tcPr>
          <w:p>
            <w:r>
              <w:t xml:space="preserve">Meningioma</w:t>
            </w:r>
          </w:p>
        </w:tc>
        <w:tc>
          <w:tcPr>
            <w:tcW w:type="dxa" w:w="2250"/>
          </w:tcPr>
          <w:p>
            <w:r>
              <w:t xml:space="preserve">0.93</w:t>
            </w:r>
          </w:p>
        </w:tc>
        <w:tc>
          <w:tcPr>
            <w:tcW w:type="dxa" w:w="2250"/>
          </w:tcPr>
          <w:p>
            <w:r>
              <w:t xml:space="preserve">0.91</w:t>
            </w:r>
          </w:p>
        </w:tc>
        <w:tc>
          <w:tcPr>
            <w:tcW w:type="dxa" w:w="2250"/>
          </w:tcPr>
          <w:p>
            <w:r>
              <w:t xml:space="preserve">0.92</w:t>
            </w:r>
          </w:p>
        </w:tc>
      </w:tr>
      <w:tr>
        <w:tc>
          <w:tcPr>
            <w:tcW w:type="dxa" w:w="2250"/>
          </w:tcPr>
          <w:p>
            <w:r>
              <w:t xml:space="preserve">No Tumor</w:t>
            </w:r>
          </w:p>
        </w:tc>
        <w:tc>
          <w:tcPr>
            <w:tcW w:type="dxa" w:w="2250"/>
          </w:tcPr>
          <w:p>
            <w:r>
              <w:t xml:space="preserve">0.88</w:t>
            </w:r>
          </w:p>
        </w:tc>
        <w:tc>
          <w:tcPr>
            <w:tcW w:type="dxa" w:w="2250"/>
          </w:tcPr>
          <w:p>
            <w:r>
              <w:t xml:space="preserve">1.00</w:t>
            </w:r>
          </w:p>
        </w:tc>
        <w:tc>
          <w:tcPr>
            <w:tcW w:type="dxa" w:w="2250"/>
          </w:tcPr>
          <w:p>
            <w:r>
              <w:t xml:space="preserve">0.93</w:t>
            </w:r>
          </w:p>
        </w:tc>
      </w:tr>
      <w:tr>
        <w:tc>
          <w:tcPr>
            <w:tcW w:type="dxa" w:w="2250"/>
          </w:tcPr>
          <w:p>
            <w:r>
              <w:t xml:space="preserve">Pituitary</w:t>
            </w:r>
          </w:p>
        </w:tc>
        <w:tc>
          <w:tcPr>
            <w:tcW w:type="dxa" w:w="2250"/>
          </w:tcPr>
          <w:p>
            <w:r>
              <w:t xml:space="preserve">0.89</w:t>
            </w:r>
          </w:p>
        </w:tc>
        <w:tc>
          <w:tcPr>
            <w:tcW w:type="dxa" w:w="2250"/>
          </w:tcPr>
          <w:p>
            <w:r>
              <w:t xml:space="preserve">1.00</w:t>
            </w:r>
          </w:p>
        </w:tc>
        <w:tc>
          <w:tcPr>
            <w:tcW w:type="dxa" w:w="2250"/>
          </w:tcPr>
          <w:p>
            <w:r>
              <w:t xml:space="preserve">0.94</w:t>
            </w:r>
          </w:p>
        </w:tc>
      </w:tr>
    </w:tbl>
    <w:p>
      <w:pPr>
        <w:spacing w:before="300"/>
      </w:pPr>
    </w:p>
    <w:p>
      <w:pPr>
        <w:spacing w:after="160" w:line="300"/>
      </w:pPr>
      <w:r>
        <w:rPr>
          <w:b/>
          <w:bCs/>
        </w:rPr>
        <w:t xml:space="preserve">6.3  Confusion Matrix</w:t>
      </w:r>
    </w:p>
    <w:p>
      <w:pPr>
        <w:spacing w:after="100" w:before="100"/>
        <w:jc w:val="center"/>
      </w:pPr>
      <w:r>
        <w:drawing>
          <wp:inline distT="0" distB="0" distL="0" distR="0">
            <wp:extent cx="32385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444444"/>
          <w:sz w:val="18"/>
          <w:szCs w:val="18"/>
        </w:rPr>
        <w:t xml:space="preserve">Figure 3: Confusion matrix on the test set</w:t>
      </w:r>
    </w:p>
    <w:p>
      <w:pPr>
        <w:spacing w:before="200"/>
      </w:pPr>
    </w:p>
    <w:p>
      <w:pPr>
        <w:spacing w:after="160" w:line="300"/>
      </w:pPr>
      <w:r>
        <w:t xml:space="preserve">Glioma has the lowest recall (0.76), making it the class most frequently confused with the others — this is the clearest area for improvement identified during evaluation.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7. Conclusion</w:t>
      </w:r>
    </w:p>
    <w:p>
      <w:pPr>
        <w:spacing w:after="160" w:line="300"/>
      </w:pPr>
      <w:r>
        <w:t xml:space="preserve">The CNN achieved 91.75% test accuracy, exceeding the 90% target, using a lightweight architecture of approximately 305K parameters that trains efficiently even on CPU due to the small 64×64 input resolution and GlobalAveragePooling2D head. Precision and recall were strong for Meningioma, No Tumor, and Pituitary classes, with Glioma recall (0.76) identified as the primary weakness. Deeper augmentation, a larger input resolution, or additional glioma-focused training data are natural next steps to close that gap.</w:t>
      </w:r>
    </w:p>
    <w:p>
      <w:pPr>
        <w:spacing w:after="160" w:line="300"/>
      </w:pPr>
      <w:r>
        <w:t xml:space="preserve">The trained model was deployed behind a Flask web application with a dashboard for uploading an MRI slice and viewing per-class confidence scores, backed by an automated test suite covering both the preprocessing pipeline and the prediction API.</w:t>
      </w:r>
    </w:p>
    <w:p>
      <w:pPr>
        <w:spacing w:after="160" w:before="200"/>
      </w:pPr>
      <w:r>
        <w:rPr>
          <w:i/>
          <w:iCs/>
          <w:color w:val="444444"/>
        </w:rPr>
        <w:t xml:space="preserve">Disclaimer: This project is a research and educational prototype. It has not been validated for clinical use and is not a medical diagnostic device.</w:t>
      </w:r>
    </w:p>
    <w:p>
      <w:pPr>
        <w:pStyle w:val="Heading1"/>
        <w:spacing w:after="160" w:before="320"/>
      </w:pPr>
      <w:r>
        <w:rPr>
          <w:b/>
          <w:bCs/>
          <w:color w:val="1F4E79"/>
        </w:rPr>
        <w:t xml:space="preserve">8. References</w:t>
      </w:r>
    </w:p>
    <w:p>
      <w:pPr>
        <w:spacing w:after="160" w:line="300"/>
      </w:pPr>
      <w:r>
        <w:t xml:space="preserve">[1] Brain Tumor MRI Dataset, Kaggle — https://www.kaggle.com/datasets/masoudnickparvar/brain-tumor-mri-dataset</w:t>
      </w:r>
    </w:p>
    <w:p>
      <w:pPr>
        <w:spacing w:after="160" w:line="300"/>
      </w:pPr>
      <w:r>
        <w:t xml:space="preserve">[2] Chollet, F. et al. — Keras: The Python Deep Learning API — https://keras.io</w:t>
      </w:r>
    </w:p>
    <w:p>
      <w:pPr>
        <w:spacing w:after="160" w:line="300"/>
      </w:pPr>
      <w:r>
        <w:t xml:space="preserve">[3] Abadi, M. et al. — TensorFlow: Large-Scale Machine Learning on Heterogeneous Systems — https://www.tensorflow.org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4444"/>
        <w:sz w:val="18"/>
        <w:szCs w:val="18"/>
      </w:rPr>
      <w:t xml:space="preserve">Page </w:t>
    </w:r>
    <w:r>
      <w:rPr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44444"/>
        <w:sz w:val="18"/>
        <w:szCs w:val="18"/>
      </w:rPr>
      <w:t xml:space="preserve"> of </w:t>
    </w:r>
    <w:r>
      <w:rPr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44444"/>
        <w:sz w:val="16"/>
        <w:szCs w:val="16"/>
      </w:rPr>
      <w:t xml:space="preserve">Brain Tumor Classification — CNN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0abbf9051f7dd78db6cfdf14bdd0121d9f42f36.png"/><Relationship Id="rId10" Type="http://schemas.openxmlformats.org/officeDocument/2006/relationships/image" Target="media/58f79ad218bbbcda230d0ab2b176996bfe534888.png"/><Relationship Id="rId11" Type="http://schemas.openxmlformats.org/officeDocument/2006/relationships/image" Target="media/8e025fde4ca53f1cabc90280a1ef3087c62dfe3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2026-07-30T05:12:14.987Z</dcterms:created>
  <dcterms:modified xsi:type="dcterms:W3CDTF">2026-07-30T05:12:15.002Z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