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5625A"/>
          <w:sz w:val="20"/>
          <w:szCs w:val="20"/>
        </w:rPr>
        <w:t xml:space="preserve">Darukaa.Earth — AI Biodiversity Intelligence Chatbot Challenge</w:t>
      </w:r>
    </w:p>
    <w:p>
      <w:pPr>
        <w:spacing w:after="100"/>
      </w:pPr>
      <w:r>
        <w:rPr>
          <w:rFonts w:ascii="Calibri" w:cs="Calibri" w:eastAsia="Calibri" w:hAnsi="Calibri"/>
          <w:b/>
          <w:bCs/>
          <w:color w:val="1B241E"/>
          <w:sz w:val="44"/>
          <w:szCs w:val="44"/>
        </w:rPr>
        <w:t xml:space="preserve">Darukaa BioIntel</w:t>
      </w:r>
    </w:p>
    <w:p>
      <w:pPr>
        <w:pBdr>
          <w:bottom w:val="single" w:color="2F5C43" w:sz="12" w:space="8"/>
        </w:pBdr>
        <w:spacing w:after="200"/>
      </w:pPr>
      <w:r>
        <w:rPr>
          <w:rFonts w:ascii="Calibri" w:cs="Calibri" w:eastAsia="Calibri" w:hAnsi="Calibri"/>
          <w:i/>
          <w:iCs/>
          <w:color w:val="55625A"/>
          <w:sz w:val="22"/>
          <w:szCs w:val="22"/>
        </w:rPr>
        <w:t xml:space="preserve">An evidence-grounded biodiversity advisory engine: diagnosis-first reasoning over a gated knowledge base, with every recommendation traced through a causal metric graph and tied to a citation.</w:t>
      </w:r>
    </w:p>
    <w:p>
      <w:pPr>
        <w:spacing w:after="200" w:line="300"/>
      </w:pPr>
      <w:r>
        <w:rPr>
          <w:rFonts w:ascii="Calibri" w:cs="Calibri" w:eastAsia="Calibri" w:hAnsi="Calibri"/>
          <w:color w:val="55625A"/>
          <w:sz w:val="20"/>
          <w:szCs w:val="20"/>
        </w:rPr>
        <w:t xml:space="preserve">Submission prepared for the applied-job document upload. Section 1 gives the links and access details; sections 2 onward are the README overview covering architecture, schema, local setup and CI/CD.</w:t>
      </w:r>
    </w:p>
    <w:p>
      <w:pPr>
        <w:pStyle w:val="Heading1"/>
        <w:pBdr>
          <w:bottom w:val="single" w:color="C3CCC4" w:sz="6" w:space="6"/>
        </w:pBdr>
        <w:spacing w:after="140" w:before="360"/>
      </w:pPr>
      <w:r>
        <w:rPr>
          <w:rFonts w:ascii="Calibri" w:cs="Calibri" w:eastAsia="Calibri" w:hAnsi="Calibri"/>
          <w:b/>
          <w:bCs/>
          <w:color w:val="1B241E"/>
          <w:sz w:val="27"/>
          <w:szCs w:val="27"/>
        </w:rPr>
        <w:t xml:space="preserve">1. Links and access</w:t>
      </w:r>
    </w:p>
    <w:p>
      <w:pPr>
        <w:pStyle w:val="Heading2"/>
        <w:spacing w:after="100" w:before="240"/>
      </w:pPr>
      <w:r>
        <w:rPr>
          <w:rFonts w:ascii="Calibri" w:cs="Calibri" w:eastAsia="Calibri" w:hAnsi="Calibri"/>
          <w:b/>
          <w:bCs/>
          <w:color w:val="2F5C43"/>
          <w:sz w:val="22"/>
          <w:szCs w:val="22"/>
        </w:rPr>
        <w:t xml:space="preserve">GitHub repository</w:t>
      </w:r>
    </w:p>
    <w:p>
      <w:pPr>
        <w:spacing w:after="60" w:line="300"/>
      </w:pPr>
      <w:hyperlink w:history="1" r:id="rIdcftm0mhu7azrfcbvtbtj8">
        <w:r>
          <w:rPr>
            <w:rFonts w:ascii="Calibri" w:cs="Calibri" w:eastAsia="Calibri" w:hAnsi="Calibri"/>
            <w:color w:val="1F5C8B"/>
            <w:sz w:val="21"/>
            <w:szCs w:val="21"/>
            <w:u w:val="single"/>
          </w:rPr>
          <w:t xml:space="preserve">https://github.com/Sushant332/darukaa-biointel</w:t>
        </w:r>
      </w:hyperlink>
    </w:p>
    <w:p>
      <w:pPr>
        <w:spacing w:after="100" w:line="300"/>
      </w:pPr>
      <w:r>
        <w:rPr>
          <w:rFonts w:ascii="Calibri" w:cs="Calibri" w:eastAsia="Calibri" w:hAnsi="Calibri"/>
          <w:color w:val="55625A"/>
          <w:sz w:val="20"/>
          <w:szCs w:val="20"/>
        </w:rPr>
        <w:t xml:space="preserve">If the repository is private, grant read access to each of the four reviewer accounts below before this document is reviewed. If it is public, no invitations are needed.</w:t>
      </w:r>
    </w:p>
    <w:p>
      <w:pPr>
        <w:pStyle w:val="ListParagraph"/>
        <w:numPr>
          <w:ilvl w:val="0"/>
          <w:numId w:val="2"/>
        </w:numPr>
        <w:spacing w:after="70" w:line="290"/>
      </w:pPr>
      <w:r>
        <w:rPr>
          <w:rFonts w:ascii="Calibri" w:cs="Calibri" w:eastAsia="Calibri" w:hAnsi="Calibri"/>
          <w:color w:val="1B241E"/>
          <w:sz w:val="21"/>
          <w:szCs w:val="21"/>
        </w:rPr>
        <w:t xml:space="preserve">ankita.dasgupta@darukaa.com</w:t>
      </w:r>
    </w:p>
    <w:p>
      <w:pPr>
        <w:pStyle w:val="ListParagraph"/>
        <w:numPr>
          <w:ilvl w:val="0"/>
          <w:numId w:val="2"/>
        </w:numPr>
        <w:spacing w:after="70" w:line="290"/>
      </w:pPr>
      <w:r>
        <w:rPr>
          <w:rFonts w:ascii="Calibri" w:cs="Calibri" w:eastAsia="Calibri" w:hAnsi="Calibri"/>
          <w:color w:val="1B241E"/>
          <w:sz w:val="21"/>
          <w:szCs w:val="21"/>
        </w:rPr>
        <w:t xml:space="preserve">harsh.kumar@darukaa.com</w:t>
      </w:r>
    </w:p>
    <w:p>
      <w:pPr>
        <w:pStyle w:val="ListParagraph"/>
        <w:numPr>
          <w:ilvl w:val="0"/>
          <w:numId w:val="2"/>
        </w:numPr>
        <w:spacing w:after="70" w:line="290"/>
      </w:pPr>
      <w:r>
        <w:rPr>
          <w:rFonts w:ascii="Calibri" w:cs="Calibri" w:eastAsia="Calibri" w:hAnsi="Calibri"/>
          <w:color w:val="1B241E"/>
          <w:sz w:val="21"/>
          <w:szCs w:val="21"/>
        </w:rPr>
        <w:t xml:space="preserve">utkarsh.gauniyal@darukaa.com</w:t>
      </w:r>
    </w:p>
    <w:p>
      <w:pPr>
        <w:pStyle w:val="ListParagraph"/>
        <w:numPr>
          <w:ilvl w:val="0"/>
          <w:numId w:val="2"/>
        </w:numPr>
        <w:spacing w:after="70" w:line="290"/>
      </w:pPr>
      <w:r>
        <w:rPr>
          <w:rFonts w:ascii="Calibri" w:cs="Calibri" w:eastAsia="Calibri" w:hAnsi="Calibri"/>
          <w:color w:val="1B241E"/>
          <w:sz w:val="21"/>
          <w:szCs w:val="21"/>
        </w:rPr>
        <w:t xml:space="preserve">guneet.mutreja@darukaa.com</w:t>
      </w:r>
    </w:p>
    <w:p>
      <w:pPr>
        <w:pStyle w:val="Heading2"/>
        <w:spacing w:after="100" w:before="240"/>
      </w:pPr>
      <w:r>
        <w:rPr>
          <w:rFonts w:ascii="Calibri" w:cs="Calibri" w:eastAsia="Calibri" w:hAnsi="Calibri"/>
          <w:b/>
          <w:bCs/>
          <w:color w:val="2F5C43"/>
          <w:sz w:val="22"/>
          <w:szCs w:val="22"/>
        </w:rPr>
        <w:t xml:space="preserve">Live demo</w:t>
      </w:r>
    </w:p>
    <w:p>
      <w:pPr>
        <w:spacing w:after="60" w:line="300"/>
      </w:pPr>
      <w:hyperlink w:history="1" r:id="rIdjhf3ftv1o_xxxgz5yosnp">
        <w:r>
          <w:rPr>
            <w:rFonts w:ascii="Calibri" w:cs="Calibri" w:eastAsia="Calibri" w:hAnsi="Calibri"/>
            <w:color w:val="1F5C8B"/>
            <w:sz w:val="21"/>
            <w:szCs w:val="21"/>
            <w:u w:val="single"/>
          </w:rPr>
          <w:t xml:space="preserve">https://claude.ai/artifact/YDmvWZEHysDFQfSbjGjQso</w:t>
        </w:r>
      </w:hyperlink>
    </w:p>
    <w:p>
      <w:pPr>
        <w:spacing w:after="100" w:line="300"/>
      </w:pPr>
      <w:r>
        <w:rPr>
          <w:rFonts w:ascii="Calibri" w:cs="Calibri" w:eastAsia="Calibri" w:hAnsi="Calibri"/>
          <w:color w:val="1B241E"/>
          <w:sz w:val="21"/>
          <w:szCs w:val="21"/>
        </w:rPr>
        <w:t xml:space="preserve">A self-contained page that runs the full retrieval and reasoning pipeline in the browser, with the same corpus the API uses. It shows the diagnosis, the sequenced plan, the causal knock-on effects, the counterfactually-chosen clarifying questions, and an expandable retrieval trace listing which evidence cards were refused and why. The corpus is regenerated from the YAML source by scripts/export_web_kb.py, so the demo cannot drift from the API on content.</w:t>
      </w:r>
    </w:p>
    <w:p>
      <w:pPr>
        <w:spacing w:after="120" w:line="300"/>
      </w:pPr>
      <w:r>
        <w:rPr>
          <w:rFonts w:ascii="Calibri" w:cs="Calibri" w:eastAsia="Calibri" w:hAnsi="Calibri"/>
          <w:i/>
          <w:iCs/>
          <w:color w:val="55625A"/>
          <w:sz w:val="20"/>
          <w:szCs w:val="20"/>
        </w:rPr>
        <w:t xml:space="preserve">Note on access: the link above is currently private to the submitter. Open it and use the share control to grant the four reviewer accounts access, or redeploy web/index.html to any static host — it is a single file with no build step and no backend.</w:t>
      </w:r>
    </w:p>
    <w:p>
      <w:pPr>
        <w:pStyle w:val="Heading2"/>
        <w:spacing w:after="100" w:before="240"/>
      </w:pPr>
      <w:r>
        <w:rPr>
          <w:rFonts w:ascii="Calibri" w:cs="Calibri" w:eastAsia="Calibri" w:hAnsi="Calibri"/>
          <w:b/>
          <w:bCs/>
          <w:color w:val="2F5C43"/>
          <w:sz w:val="22"/>
          <w:szCs w:val="22"/>
        </w:rPr>
        <w:t xml:space="preserve">Running it locally instead</w:t>
      </w:r>
    </w:p>
    <w:p>
      <w:pPr>
        <w:shd w:fill="F2F4F1" w:val="clear"/>
        <w:spacing w:after="0" w:line="260"/>
        <w:ind w:left="172"/>
      </w:pPr>
      <w:r>
        <w:rPr>
          <w:rFonts w:ascii="Consolas" w:cs="Consolas" w:eastAsia="Consolas" w:hAnsi="Consolas"/>
          <w:color w:val="1B241E"/>
          <w:sz w:val="18"/>
          <w:szCs w:val="18"/>
        </w:rPr>
        <w:t xml:space="preserve">git clone https://github.com/Sushant332/darukaa-biointel.git</w:t>
      </w:r>
    </w:p>
    <w:p>
      <w:pPr>
        <w:shd w:fill="F2F4F1" w:val="clear"/>
        <w:spacing w:after="0" w:line="260"/>
        <w:ind w:left="172"/>
      </w:pPr>
      <w:r>
        <w:rPr>
          <w:rFonts w:ascii="Consolas" w:cs="Consolas" w:eastAsia="Consolas" w:hAnsi="Consolas"/>
          <w:color w:val="1B241E"/>
          <w:sz w:val="18"/>
          <w:szCs w:val="18"/>
        </w:rPr>
        <w:t xml:space="preserve">cd darukaa-biointel</w:t>
      </w:r>
    </w:p>
    <w:p>
      <w:pPr>
        <w:shd w:fill="F2F4F1" w:val="clear"/>
        <w:spacing w:after="0" w:line="260"/>
        <w:ind w:left="172"/>
      </w:pPr>
      <w:r>
        <w:rPr>
          <w:rFonts w:ascii="Consolas" w:cs="Consolas" w:eastAsia="Consolas" w:hAnsi="Consolas"/>
          <w:color w:val="1B241E"/>
          <w:sz w:val="18"/>
          <w:szCs w:val="18"/>
        </w:rPr>
        <w:t xml:space="preserve">pip install -r requirements-dev.txt</w:t>
      </w:r>
    </w:p>
    <w:p>
      <w:pPr>
        <w:shd w:fill="F2F4F1" w:val="clear"/>
        <w:spacing w:after="0" w:line="260"/>
        <w:ind w:left="172"/>
      </w:pPr>
      <w:r>
        <w:rPr>
          <w:rFonts w:ascii="Consolas" w:cs="Consolas" w:eastAsia="Consolas" w:hAnsi="Consolas"/>
          <w:color w:val="1B241E"/>
          <w:sz w:val="18"/>
          <w:szCs w:val="18"/>
        </w:rPr>
        <w:t xml:space="preserve">uvicorn biointel.api.main:app --reload    # http://localhost:8000/docs</w:t>
      </w:r>
    </w:p>
    <w:p>
      <w:pPr>
        <w:shd w:fill="F2F4F1" w:val="clear"/>
        <w:spacing w:after="0" w:line="260"/>
        <w:ind w:left="172"/>
      </w:pPr>
      <w:r>
        <w:rPr>
          <w:rFonts w:ascii="Consolas" w:cs="Consolas" w:eastAsia="Consolas" w:hAnsi="Consolas"/>
          <w:color w:val="1B241E"/>
          <w:sz w:val="18"/>
          <w:szCs w:val="18"/>
        </w:rPr>
        <w:t xml:space="preserve"/>
      </w:r>
    </w:p>
    <w:p>
      <w:pPr>
        <w:shd w:fill="F2F4F1" w:val="clear"/>
        <w:spacing w:after="0" w:line="260"/>
        <w:ind w:left="172"/>
      </w:pPr>
      <w:r>
        <w:rPr>
          <w:rFonts w:ascii="Consolas" w:cs="Consolas" w:eastAsia="Consolas" w:hAnsi="Consolas"/>
          <w:color w:val="1B241E"/>
          <w:sz w:val="18"/>
          <w:szCs w:val="18"/>
        </w:rPr>
        <w:t xml:space="preserve"># or, with no setup beyond a clone:</w:t>
      </w:r>
    </w:p>
    <w:p>
      <w:pPr>
        <w:shd w:fill="F2F4F1" w:val="clear"/>
        <w:spacing w:after="140" w:line="260"/>
        <w:ind w:left="172"/>
      </w:pPr>
      <w:r>
        <w:rPr>
          <w:rFonts w:ascii="Consolas" w:cs="Consolas" w:eastAsia="Consolas" w:hAnsi="Consolas"/>
          <w:color w:val="1B241E"/>
          <w:sz w:val="18"/>
          <w:szCs w:val="18"/>
        </w:rPr>
        <w:t xml:space="preserve">python -m biointel.cli</w:t>
      </w:r>
    </w:p>
    <w:p>
      <w:pPr>
        <w:pStyle w:val="Heading2"/>
        <w:spacing w:after="100" w:before="240"/>
      </w:pPr>
      <w:r>
        <w:rPr>
          <w:rFonts w:ascii="Calibri" w:cs="Calibri" w:eastAsia="Calibri" w:hAnsi="Calibri"/>
          <w:b/>
          <w:bCs/>
          <w:color w:val="2F5C43"/>
          <w:sz w:val="22"/>
          <w:szCs w:val="22"/>
        </w:rPr>
        <w:t xml:space="preserve">Status at submission</w:t>
      </w:r>
    </w:p>
    <w:tbl>
      <w:tblPr>
        <w:tblW w:type="dxa" w:w="9360"/>
        <w:tblBorders>
          <w:top w:val="single" w:color="C3CCC4" w:sz="4"/>
          <w:left w:val="single" w:color="C3CCC4" w:sz="4"/>
          <w:bottom w:val="single" w:color="C3CCC4" w:sz="4"/>
          <w:right w:val="single" w:color="C3CCC4" w:sz="4"/>
          <w:insideH w:val="single" w:color="C3CCC4" w:sz="4"/>
          <w:insideV w:val="single" w:color="C3CCC4" w:sz="4"/>
        </w:tblBorders>
      </w:tblPr>
      <w:tblGrid>
        <w:gridCol w:w="4200"/>
        <w:gridCol w:w="5160"/>
      </w:tblGrid>
      <w:tr>
        <w:trPr>
          <w:tblHeader/>
        </w:trPr>
        <w:tc>
          <w:tcPr>
            <w:tcW w:type="dxa" w:w="42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Check</w:t>
            </w:r>
          </w:p>
        </w:tc>
        <w:tc>
          <w:tcPr>
            <w:tcW w:type="dxa" w:w="516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Result</w:t>
            </w:r>
          </w:p>
        </w:tc>
      </w:tr>
      <w:tr>
        <w:tc>
          <w:tcPr>
            <w:tcW w:type="dxa" w:w="42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Behavioural test suite (pytest)</w:t>
            </w:r>
          </w:p>
        </w:tc>
        <w:tc>
          <w:tcPr>
            <w:tcW w:type="dxa" w:w="51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26 / 26 passing</w:t>
            </w:r>
          </w:p>
        </w:tc>
      </w:tr>
      <w:tr>
        <w:tc>
          <w:tcPr>
            <w:tcW w:type="dxa" w:w="42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Golden-case evaluation (8 scenarios)</w:t>
            </w:r>
          </w:p>
        </w:tc>
        <w:tc>
          <w:tcPr>
            <w:tcW w:type="dxa" w:w="51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mean score 1.00 (CI gate is 0.80)</w:t>
            </w:r>
          </w:p>
        </w:tc>
      </w:tr>
      <w:tr>
        <w:tc>
          <w:tcPr>
            <w:tcW w:type="dxa" w:w="42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Lint (ruff)</w:t>
            </w:r>
          </w:p>
        </w:tc>
        <w:tc>
          <w:tcPr>
            <w:tcW w:type="dxa" w:w="51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clean</w:t>
            </w:r>
          </w:p>
        </w:tc>
      </w:tr>
      <w:tr>
        <w:tc>
          <w:tcPr>
            <w:tcW w:type="dxa" w:w="42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Evidence corpus</w:t>
            </w:r>
          </w:p>
        </w:tc>
        <w:tc>
          <w:tcPr>
            <w:tcW w:type="dxa" w:w="51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34 cards, 21 metrics, 37 signed causal edges</w:t>
            </w:r>
          </w:p>
        </w:tc>
      </w:tr>
      <w:tr>
        <w:tc>
          <w:tcPr>
            <w:tcW w:type="dxa" w:w="42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External API key required to run</w:t>
            </w:r>
          </w:p>
        </w:tc>
        <w:tc>
          <w:tcPr>
            <w:tcW w:type="dxa" w:w="51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No — deterministic renderer and fallback encoder</w:t>
            </w:r>
          </w:p>
        </w:tc>
      </w:tr>
    </w:tbl>
    <w:p>
      <w:pPr>
        <w:pStyle w:val="Heading1"/>
        <w:pBdr>
          <w:bottom w:val="single" w:color="C3CCC4" w:sz="6" w:space="6"/>
        </w:pBdr>
        <w:spacing w:after="140" w:before="360"/>
      </w:pPr>
      <w:r>
        <w:rPr>
          <w:rFonts w:ascii="Calibri" w:cs="Calibri" w:eastAsia="Calibri" w:hAnsi="Calibri"/>
          <w:b/>
          <w:bCs/>
          <w:color w:val="1B241E"/>
          <w:sz w:val="27"/>
          <w:szCs w:val="27"/>
        </w:rPr>
        <w:t xml:space="preserve">2. What the system does</w:t>
      </w:r>
    </w:p>
    <w:p>
      <w:pPr>
        <w:spacing w:after="120" w:line="300"/>
      </w:pPr>
      <w:r>
        <w:rPr>
          <w:rFonts w:ascii="Calibri" w:cs="Calibri" w:eastAsia="Calibri" w:hAnsi="Calibri"/>
          <w:color w:val="1B241E"/>
          <w:sz w:val="21"/>
          <w:szCs w:val="21"/>
        </w:rPr>
        <w:t xml:space="preserve">Most land-management advice fails not because it is wrong in general but because it treats the wrong problem well. Cover crops are excellent advice on a carbon-depleted soil and close to useless on a soil at 1.4% organic carbon that is losing birds because the surrounding landscape was cleared. A system that retrieves text about biodiversity improvement and paraphrases it cannot tell those two sites apart.</w:t>
      </w:r>
    </w:p>
    <w:p>
      <w:pPr>
        <w:spacing w:after="120" w:line="300"/>
      </w:pPr>
      <w:r>
        <w:rPr>
          <w:rFonts w:ascii="Calibri" w:cs="Calibri" w:eastAsia="Calibri" w:hAnsi="Calibri"/>
          <w:color w:val="1B241E"/>
          <w:sz w:val="21"/>
          <w:szCs w:val="21"/>
        </w:rPr>
        <w:t xml:space="preserve">Three structural decisions follow from that, and they are the substance of this submission.</w:t>
      </w:r>
    </w:p>
    <w:p>
      <w:pPr>
        <w:pStyle w:val="Heading2"/>
        <w:spacing w:after="100" w:before="240"/>
      </w:pPr>
      <w:r>
        <w:rPr>
          <w:rFonts w:ascii="Calibri" w:cs="Calibri" w:eastAsia="Calibri" w:hAnsi="Calibri"/>
          <w:b/>
          <w:bCs/>
          <w:color w:val="2F5C43"/>
          <w:sz w:val="22"/>
          <w:szCs w:val="22"/>
        </w:rPr>
        <w:t xml:space="preserve">Diagnosis precedes retrieval</w:t>
      </w:r>
    </w:p>
    <w:p>
      <w:pPr>
        <w:spacing w:after="120" w:line="300"/>
      </w:pPr>
      <w:r>
        <w:rPr>
          <w:rFonts w:ascii="Calibri" w:cs="Calibri" w:eastAsia="Calibri" w:hAnsi="Calibri"/>
          <w:color w:val="1B241E"/>
          <w:sz w:val="21"/>
          <w:szCs w:val="21"/>
        </w:rPr>
        <w:t xml:space="preserve">A rule layer reads the structured site profile and decides which constraints are binding, assigning a severity to each. Those constraints then drive query expansion, candidate scoring and sequencing. The engine separately emits stop conditions — pressures such as annual residue burning or calendar pesticide spraying that will negate ecological investment regardless of what else is done — and places them ahead of the plan rather than inside it.</w:t>
      </w:r>
    </w:p>
    <w:p>
      <w:pPr>
        <w:pStyle w:val="Heading2"/>
        <w:spacing w:after="100" w:before="240"/>
      </w:pPr>
      <w:r>
        <w:rPr>
          <w:rFonts w:ascii="Calibri" w:cs="Calibri" w:eastAsia="Calibri" w:hAnsi="Calibri"/>
          <w:b/>
          <w:bCs/>
          <w:color w:val="2F5C43"/>
          <w:sz w:val="22"/>
          <w:szCs w:val="22"/>
        </w:rPr>
        <w:t xml:space="preserve">The site profile is a hard gate on the corpus, not a ranking hint</w:t>
      </w:r>
    </w:p>
    <w:p>
      <w:pPr>
        <w:spacing w:after="120" w:line="300"/>
      </w:pPr>
      <w:r>
        <w:rPr>
          <w:rFonts w:ascii="Calibri" w:cs="Calibri" w:eastAsia="Calibri" w:hAnsi="Calibri"/>
          <w:color w:val="1B241E"/>
          <w:sz w:val="21"/>
          <w:szCs w:val="21"/>
        </w:rPr>
        <w:t xml:space="preserve">An evidence card whose applicability window excludes the site is refused, with a stated reason that appears in the API response and in the demo's retrieval trace. On a pH 8.7 soil the liming card is excluded and says why, even though its text matches a query about raising microbial diversity almost perfectly. This is the difference between a retrieval system and a search box, and it is asserted directly in the test suite.</w:t>
      </w:r>
    </w:p>
    <w:p>
      <w:pPr>
        <w:pStyle w:val="Heading2"/>
        <w:spacing w:after="100" w:before="240"/>
      </w:pPr>
      <w:r>
        <w:rPr>
          <w:rFonts w:ascii="Calibri" w:cs="Calibri" w:eastAsia="Calibri" w:hAnsi="Calibri"/>
          <w:b/>
          <w:bCs/>
          <w:color w:val="2F5C43"/>
          <w:sz w:val="22"/>
          <w:szCs w:val="22"/>
        </w:rPr>
        <w:t xml:space="preserve">The reasoning layer is deterministic; the language model only phrases</w:t>
      </w:r>
    </w:p>
    <w:p>
      <w:pPr>
        <w:spacing w:after="120" w:line="300"/>
      </w:pPr>
      <w:r>
        <w:rPr>
          <w:rFonts w:ascii="Calibri" w:cs="Calibri" w:eastAsia="Calibri" w:hAnsi="Calibri"/>
          <w:color w:val="1B241E"/>
          <w:sz w:val="21"/>
          <w:szCs w:val="21"/>
        </w:rPr>
        <w:t xml:space="preserve">The engine produces a typed Analysis object. The model receives it as JSON under a system prompt that forbids introducing any claim, figure, mechanism, source or recommendation not present in it, and forbids dropping any trade-off or conflict. Without an API key, a built-in renderer produces the same content with no model involved — which is what the test suite asserts against. The consequence is that recommendations are stable, reviewable and testable rather than merely fluent.</w:t>
      </w:r>
    </w:p>
    <w:p>
      <w:pPr>
        <w:pStyle w:val="Heading1"/>
        <w:pBdr>
          <w:bottom w:val="single" w:color="C3CCC4" w:sz="6" w:space="6"/>
        </w:pBdr>
        <w:spacing w:after="140" w:before="360"/>
      </w:pPr>
      <w:r>
        <w:rPr>
          <w:rFonts w:ascii="Calibri" w:cs="Calibri" w:eastAsia="Calibri" w:hAnsi="Calibri"/>
          <w:b/>
          <w:bCs/>
          <w:color w:val="1B241E"/>
          <w:sz w:val="27"/>
          <w:szCs w:val="27"/>
        </w:rPr>
        <w:t xml:space="preserve">3. Architecture</w:t>
      </w:r>
    </w:p>
    <w:p>
      <w:pPr>
        <w:shd w:fill="F2F4F1" w:val="clear"/>
        <w:spacing w:after="0" w:line="260"/>
        <w:ind w:left="172"/>
      </w:pPr>
      <w:r>
        <w:rPr>
          <w:rFonts w:ascii="Consolas" w:cs="Consolas" w:eastAsia="Consolas" w:hAnsi="Consolas"/>
          <w:color w:val="1B241E"/>
          <w:sz w:val="18"/>
          <w:szCs w:val="18"/>
        </w:rPr>
        <w:t xml:space="preserve">  free text ─┐</w:t>
      </w:r>
    </w:p>
    <w:p>
      <w:pPr>
        <w:shd w:fill="F2F4F1" w:val="clear"/>
        <w:spacing w:after="0" w:line="260"/>
        <w:ind w:left="172"/>
      </w:pPr>
      <w:r>
        <w:rPr>
          <w:rFonts w:ascii="Consolas" w:cs="Consolas" w:eastAsia="Consolas" w:hAnsi="Consolas"/>
          <w:color w:val="1B241E"/>
          <w:sz w:val="18"/>
          <w:szCs w:val="18"/>
        </w:rPr>
        <w:t xml:space="preserve">  JSON       ├──▶ conversation/state.py   slot extraction · merge · journal · memory</w:t>
      </w:r>
    </w:p>
    <w:p>
      <w:pPr>
        <w:shd w:fill="F2F4F1" w:val="clear"/>
        <w:spacing w:after="0" w:line="260"/>
        <w:ind w:left="172"/>
      </w:pPr>
      <w:r>
        <w:rPr>
          <w:rFonts w:ascii="Consolas" w:cs="Consolas" w:eastAsia="Consolas" w:hAnsi="Consolas"/>
          <w:color w:val="1B241E"/>
          <w:sz w:val="18"/>
          <w:szCs w:val="18"/>
        </w:rPr>
        <w:t xml:space="preserve">  geo-coords ┘                │</w:t>
      </w:r>
    </w:p>
    <w:p>
      <w:pPr>
        <w:shd w:fill="F2F4F1" w:val="clear"/>
        <w:spacing w:after="0" w:line="260"/>
        <w:ind w:left="172"/>
      </w:pPr>
      <w:r>
        <w:rPr>
          <w:rFonts w:ascii="Consolas" w:cs="Consolas" w:eastAsia="Consolas" w:hAnsi="Consolas"/>
          <w:color w:val="1B241E"/>
          <w:sz w:val="18"/>
          <w:szCs w:val="18"/>
        </w:rPr>
        <w:t xml:space="preserve">                              ▼  SiteProfile (typed, partial)</w:t>
      </w:r>
    </w:p>
    <w:p>
      <w:pPr>
        <w:shd w:fill="F2F4F1" w:val="clear"/>
        <w:spacing w:after="0" w:line="260"/>
        <w:ind w:left="172"/>
      </w:pPr>
      <w:r>
        <w:rPr>
          <w:rFonts w:ascii="Consolas" w:cs="Consolas" w:eastAsia="Consolas" w:hAnsi="Consolas"/>
          <w:color w:val="1B241E"/>
          <w:sz w:val="18"/>
          <w:szCs w:val="18"/>
        </w:rPr>
        <w:t xml:space="preserve">                  reasoning/diagnostics.py  binding constraints + severity,</w:t>
      </w:r>
    </w:p>
    <w:p>
      <w:pPr>
        <w:shd w:fill="F2F4F1" w:val="clear"/>
        <w:spacing w:after="0" w:line="260"/>
        <w:ind w:left="172"/>
      </w:pPr>
      <w:r>
        <w:rPr>
          <w:rFonts w:ascii="Consolas" w:cs="Consolas" w:eastAsia="Consolas" w:hAnsi="Consolas"/>
          <w:color w:val="1B241E"/>
          <w:sz w:val="18"/>
          <w:szCs w:val="18"/>
        </w:rPr>
        <w:t xml:space="preserve">                              │             stop conditions, recorded unknowns</w:t>
      </w:r>
    </w:p>
    <w:p>
      <w:pPr>
        <w:shd w:fill="F2F4F1" w:val="clear"/>
        <w:spacing w:after="0" w:line="260"/>
        <w:ind w:left="172"/>
      </w:pPr>
      <w:r>
        <w:rPr>
          <w:rFonts w:ascii="Consolas" w:cs="Consolas" w:eastAsia="Consolas" w:hAnsi="Consolas"/>
          <w:color w:val="1B241E"/>
          <w:sz w:val="18"/>
          <w:szCs w:val="18"/>
        </w:rPr>
        <w:t xml:space="preserve">                              ▼  Diagnosis</w:t>
      </w:r>
    </w:p>
    <w:p>
      <w:pPr>
        <w:shd w:fill="F2F4F1" w:val="clear"/>
        <w:spacing w:after="0" w:line="260"/>
        <w:ind w:left="172"/>
      </w:pPr>
      <w:r>
        <w:rPr>
          <w:rFonts w:ascii="Consolas" w:cs="Consolas" w:eastAsia="Consolas" w:hAnsi="Consolas"/>
          <w:color w:val="1B241E"/>
          <w:sz w:val="18"/>
          <w:szCs w:val="18"/>
        </w:rPr>
        <w:t xml:space="preserve">        ┌─────────────────────┴─────────────────────┐</w:t>
      </w:r>
    </w:p>
    <w:p>
      <w:pPr>
        <w:shd w:fill="F2F4F1" w:val="clear"/>
        <w:spacing w:after="0" w:line="260"/>
        <w:ind w:left="172"/>
      </w:pPr>
      <w:r>
        <w:rPr>
          <w:rFonts w:ascii="Consolas" w:cs="Consolas" w:eastAsia="Consolas" w:hAnsi="Consolas"/>
          <w:color w:val="1B241E"/>
          <w:sz w:val="18"/>
          <w:szCs w:val="18"/>
        </w:rPr>
        <w:t xml:space="preserve">        ▼                                           │</w:t>
      </w:r>
    </w:p>
    <w:p>
      <w:pPr>
        <w:shd w:fill="F2F4F1" w:val="clear"/>
        <w:spacing w:after="0" w:line="260"/>
        <w:ind w:left="172"/>
      </w:pPr>
      <w:r>
        <w:rPr>
          <w:rFonts w:ascii="Consolas" w:cs="Consolas" w:eastAsia="Consolas" w:hAnsi="Consolas"/>
          <w:color w:val="1B241E"/>
          <w:sz w:val="18"/>
          <w:szCs w:val="18"/>
        </w:rPr>
        <w:t xml:space="preserve">  kb/retriever.py  query expansion per constraint    │</w:t>
      </w:r>
    </w:p>
    <w:p>
      <w:pPr>
        <w:shd w:fill="F2F4F1" w:val="clear"/>
        <w:spacing w:after="0" w:line="260"/>
        <w:ind w:left="172"/>
      </w:pPr>
      <w:r>
        <w:rPr>
          <w:rFonts w:ascii="Consolas" w:cs="Consolas" w:eastAsia="Consolas" w:hAnsi="Consolas"/>
          <w:color w:val="1B241E"/>
          <w:sz w:val="18"/>
          <w:szCs w:val="18"/>
        </w:rPr>
        <w:t xml:space="preserve">     ├─ dense cosine        (kb/embeddings.py)       │</w:t>
      </w:r>
    </w:p>
    <w:p>
      <w:pPr>
        <w:shd w:fill="F2F4F1" w:val="clear"/>
        <w:spacing w:after="0" w:line="260"/>
        <w:ind w:left="172"/>
      </w:pPr>
      <w:r>
        <w:rPr>
          <w:rFonts w:ascii="Consolas" w:cs="Consolas" w:eastAsia="Consolas" w:hAnsi="Consolas"/>
          <w:color w:val="1B241E"/>
          <w:sz w:val="18"/>
          <w:szCs w:val="18"/>
        </w:rPr>
        <w:t xml:space="preserve">     ├─ BM25                (kb/vector_store.py)     │</w:t>
      </w:r>
    </w:p>
    <w:p>
      <w:pPr>
        <w:shd w:fill="F2F4F1" w:val="clear"/>
        <w:spacing w:after="0" w:line="260"/>
        <w:ind w:left="172"/>
      </w:pPr>
      <w:r>
        <w:rPr>
          <w:rFonts w:ascii="Consolas" w:cs="Consolas" w:eastAsia="Consolas" w:hAnsi="Consolas"/>
          <w:color w:val="1B241E"/>
          <w:sz w:val="18"/>
          <w:szCs w:val="18"/>
        </w:rPr>
        <w:t xml:space="preserve">     ├─ reciprocal rank fusion                       │</w:t>
      </w:r>
    </w:p>
    <w:p>
      <w:pPr>
        <w:shd w:fill="F2F4F1" w:val="clear"/>
        <w:spacing w:after="0" w:line="260"/>
        <w:ind w:left="172"/>
      </w:pPr>
      <w:r>
        <w:rPr>
          <w:rFonts w:ascii="Consolas" w:cs="Consolas" w:eastAsia="Consolas" w:hAnsi="Consolas"/>
          <w:color w:val="1B241E"/>
          <w:sz w:val="18"/>
          <w:szCs w:val="18"/>
        </w:rPr>
        <w:t xml:space="preserve">     └─ applicability gate ──▶ excluded + reason     │</w:t>
      </w:r>
    </w:p>
    <w:p>
      <w:pPr>
        <w:shd w:fill="F2F4F1" w:val="clear"/>
        <w:spacing w:after="0" w:line="260"/>
        <w:ind w:left="172"/>
      </w:pPr>
      <w:r>
        <w:rPr>
          <w:rFonts w:ascii="Consolas" w:cs="Consolas" w:eastAsia="Consolas" w:hAnsi="Consolas"/>
          <w:color w:val="1B241E"/>
          <w:sz w:val="18"/>
          <w:szCs w:val="18"/>
        </w:rPr>
        <w:t xml:space="preserve">        │  RetrievalHit[]                            │</w:t>
      </w:r>
    </w:p>
    <w:p>
      <w:pPr>
        <w:shd w:fill="F2F4F1" w:val="clear"/>
        <w:spacing w:after="0" w:line="260"/>
        <w:ind w:left="172"/>
      </w:pPr>
      <w:r>
        <w:rPr>
          <w:rFonts w:ascii="Consolas" w:cs="Consolas" w:eastAsia="Consolas" w:hAnsi="Consolas"/>
          <w:color w:val="1B241E"/>
          <w:sz w:val="18"/>
          <w:szCs w:val="18"/>
        </w:rPr>
        <w:t xml:space="preserve">        ▼                                            ▼</w:t>
      </w:r>
    </w:p>
    <w:p>
      <w:pPr>
        <w:shd w:fill="F2F4F1" w:val="clear"/>
        <w:spacing w:after="0" w:line="260"/>
        <w:ind w:left="172"/>
      </w:pPr>
      <w:r>
        <w:rPr>
          <w:rFonts w:ascii="Consolas" w:cs="Consolas" w:eastAsia="Consolas" w:hAnsi="Consolas"/>
          <w:color w:val="1B241E"/>
          <w:sz w:val="18"/>
          <w:szCs w:val="18"/>
        </w:rPr>
        <w:t xml:space="preserve">  reasoning/engine.py</w:t>
      </w:r>
    </w:p>
    <w:p>
      <w:pPr>
        <w:shd w:fill="F2F4F1" w:val="clear"/>
        <w:spacing w:after="0" w:line="260"/>
        <w:ind w:left="172"/>
      </w:pPr>
      <w:r>
        <w:rPr>
          <w:rFonts w:ascii="Consolas" w:cs="Consolas" w:eastAsia="Consolas" w:hAnsi="Consolas"/>
          <w:color w:val="1B241E"/>
          <w:sz w:val="18"/>
          <w:szCs w:val="18"/>
        </w:rPr>
        <w:t xml:space="preserve">     severity-weighted leverage · keystone floors · diversity guard</w:t>
      </w:r>
    </w:p>
    <w:p>
      <w:pPr>
        <w:shd w:fill="F2F4F1" w:val="clear"/>
        <w:spacing w:after="0" w:line="260"/>
        <w:ind w:left="172"/>
      </w:pPr>
      <w:r>
        <w:rPr>
          <w:rFonts w:ascii="Consolas" w:cs="Consolas" w:eastAsia="Consolas" w:hAnsi="Consolas"/>
          <w:color w:val="1B241E"/>
          <w:sz w:val="18"/>
          <w:szCs w:val="18"/>
        </w:rPr>
        <w:t xml:space="preserve">     signed causal propagation via reasoning/ontology.py</w:t>
      </w:r>
    </w:p>
    <w:p>
      <w:pPr>
        <w:shd w:fill="F2F4F1" w:val="clear"/>
        <w:spacing w:after="0" w:line="260"/>
        <w:ind w:left="172"/>
      </w:pPr>
      <w:r>
        <w:rPr>
          <w:rFonts w:ascii="Consolas" w:cs="Consolas" w:eastAsia="Consolas" w:hAnsi="Consolas"/>
          <w:color w:val="1B241E"/>
          <w:sz w:val="18"/>
          <w:szCs w:val="18"/>
        </w:rPr>
        <w:t xml:space="preserve">     interaction and conflict detection · sequencing · confidence</w:t>
      </w:r>
    </w:p>
    <w:p>
      <w:pPr>
        <w:shd w:fill="F2F4F1" w:val="clear"/>
        <w:spacing w:after="0" w:line="260"/>
        <w:ind w:left="172"/>
      </w:pPr>
      <w:r>
        <w:rPr>
          <w:rFonts w:ascii="Consolas" w:cs="Consolas" w:eastAsia="Consolas" w:hAnsi="Consolas"/>
          <w:color w:val="1B241E"/>
          <w:sz w:val="18"/>
          <w:szCs w:val="18"/>
        </w:rPr>
        <w:t xml:space="preserve">        │  Analysis</w:t>
      </w:r>
    </w:p>
    <w:p>
      <w:pPr>
        <w:shd w:fill="F2F4F1" w:val="clear"/>
        <w:spacing w:after="0" w:line="260"/>
        <w:ind w:left="172"/>
      </w:pPr>
      <w:r>
        <w:rPr>
          <w:rFonts w:ascii="Consolas" w:cs="Consolas" w:eastAsia="Consolas" w:hAnsi="Consolas"/>
          <w:color w:val="1B241E"/>
          <w:sz w:val="18"/>
          <w:szCs w:val="18"/>
        </w:rPr>
        <w:t xml:space="preserve">        ├──▶ llm/client.py            renderer (default) or model narration</w:t>
      </w:r>
    </w:p>
    <w:p>
      <w:pPr>
        <w:shd w:fill="F2F4F1" w:val="clear"/>
        <w:spacing w:after="140" w:line="260"/>
        <w:ind w:left="172"/>
      </w:pPr>
      <w:r>
        <w:rPr>
          <w:rFonts w:ascii="Consolas" w:cs="Consolas" w:eastAsia="Consolas" w:hAnsi="Consolas"/>
          <w:color w:val="1B241E"/>
          <w:sz w:val="18"/>
          <w:szCs w:val="18"/>
        </w:rPr>
        <w:t xml:space="preserve">        └──▶ conversation/agent.py    counterfactual question selection</w:t>
      </w:r>
    </w:p>
    <w:p>
      <w:pPr>
        <w:pStyle w:val="Heading2"/>
        <w:spacing w:after="100" w:before="240"/>
      </w:pPr>
      <w:r>
        <w:rPr>
          <w:rFonts w:ascii="Calibri" w:cs="Calibri" w:eastAsia="Calibri" w:hAnsi="Calibri"/>
          <w:b/>
          <w:bCs/>
          <w:color w:val="2F5C43"/>
          <w:sz w:val="22"/>
          <w:szCs w:val="22"/>
        </w:rPr>
        <w:t xml:space="preserve">Knowledge system</w:t>
      </w:r>
    </w:p>
    <w:p>
      <w:pPr>
        <w:spacing w:after="120" w:line="300"/>
      </w:pPr>
      <w:r>
        <w:rPr>
          <w:rFonts w:ascii="Calibri" w:cs="Calibri" w:eastAsia="Calibri" w:hAnsi="Calibri"/>
          <w:color w:val="1B241E"/>
          <w:sz w:val="21"/>
          <w:szCs w:val="21"/>
        </w:rPr>
        <w:t xml:space="preserve">The corpus is 34 evidence cards in data/knowledge/*.yaml. Each is a retrievable unit carrying a mechanism, quantified metric effects with time horizons and confidence, an applicability window, prerequisites, trade-offs, synergy and conflict links, cost, reversibility and citations. Cards come in four kinds: interventions (recommendable), mechanisms (retrievable, never recommended), context (diagnostic thresholds), and cautions (actions that look like restoration and are not).</w:t>
      </w:r>
    </w:p>
    <w:p>
      <w:pPr>
        <w:spacing w:after="120" w:line="300"/>
      </w:pPr>
      <w:r>
        <w:rPr>
          <w:rFonts w:ascii="Calibri" w:cs="Calibri" w:eastAsia="Calibri" w:hAnsi="Calibri"/>
          <w:color w:val="1B241E"/>
          <w:sz w:val="21"/>
          <w:szCs w:val="21"/>
        </w:rPr>
        <w:t xml:space="preserve">Sources are published meta-analyses and assessments — FAO, IPCC AR6, IPBES 2019, Poeplau &amp; Don (2015), Powlson et al. (2014), Haddad et al. (2015), Damschen et al. (2019), Albrecht et al. (2020), Garibaldi et al. (2013), Minasny &amp; McBratney (2018), Delgado-Baquerizo et al. (2016), Tscharntke et al. (2012), Jeffery et al. (2017), Davis et al. (2018), Reij et al. (2009), Veldman et al. (2015) and others.</w:t>
      </w:r>
    </w:p>
    <w:p>
      <w:pPr>
        <w:spacing w:after="120" w:line="300"/>
      </w:pPr>
      <w:r>
        <w:rPr>
          <w:rFonts w:ascii="Calibri" w:cs="Calibri" w:eastAsia="Calibri" w:hAnsi="Calibri"/>
          <w:color w:val="1B241E"/>
          <w:sz w:val="21"/>
          <w:szCs w:val="21"/>
        </w:rPr>
        <w:t xml:space="preserve">Several cards exist specifically to prevent plausible bad advice: the limited whole-profile carbon benefit of no-till, the order-of-magnitude overstatement of the organic-matter-to-available-water relationship, and afforestation of grassy biomes being recorded as restoration.</w:t>
      </w:r>
    </w:p>
    <w:p>
      <w:pPr>
        <w:spacing w:after="80" w:line="300"/>
      </w:pPr>
      <w:r>
        <w:rPr>
          <w:rFonts w:ascii="Calibri" w:cs="Calibri" w:eastAsia="Calibri" w:hAnsi="Calibri"/>
          <w:color w:val="1B241E"/>
          <w:sz w:val="21"/>
          <w:szCs w:val="21"/>
        </w:rPr>
        <w:t xml:space="preserve">Retrieval runs in three stages, all three visible in POST /kb/search:</w:t>
      </w:r>
    </w:p>
    <w:p>
      <w:pPr>
        <w:pStyle w:val="ListParagraph"/>
        <w:numPr>
          <w:ilvl w:val="0"/>
          <w:numId w:val="2"/>
        </w:numPr>
        <w:spacing w:after="70" w:line="290"/>
      </w:pPr>
      <w:r>
        <w:rPr>
          <w:rFonts w:ascii="Calibri" w:cs="Calibri" w:eastAsia="Calibri" w:hAnsi="Calibri"/>
          <w:color w:val="1B241E"/>
          <w:sz w:val="21"/>
          <w:szCs w:val="21"/>
        </w:rPr>
        <w:t xml:space="preserve">Recall — dense cosine over card embeddings and Okapi BM25 over the same text, run independently. Lexical recall is not optional here: queries carry exact terms such as sodic, Faidherbia and neonicotinoid that a small dense encoder smooths away.</w:t>
      </w:r>
    </w:p>
    <w:p>
      <w:pPr>
        <w:pStyle w:val="ListParagraph"/>
        <w:numPr>
          <w:ilvl w:val="0"/>
          <w:numId w:val="2"/>
        </w:numPr>
        <w:spacing w:after="70" w:line="290"/>
      </w:pPr>
      <w:r>
        <w:rPr>
          <w:rFonts w:ascii="Calibri" w:cs="Calibri" w:eastAsia="Calibri" w:hAnsi="Calibri"/>
          <w:color w:val="1B241E"/>
          <w:sz w:val="21"/>
          <w:szCs w:val="21"/>
        </w:rPr>
        <w:t xml:space="preserve">Fusion — reciprocal rank fusion, chosen over score normalisation because BM25 and cosine are not on comparable scales and RRF is robust to that without tuning.</w:t>
      </w:r>
    </w:p>
    <w:p>
      <w:pPr>
        <w:pStyle w:val="ListParagraph"/>
        <w:numPr>
          <w:ilvl w:val="0"/>
          <w:numId w:val="2"/>
        </w:numPr>
        <w:spacing w:after="70" w:line="290"/>
      </w:pPr>
      <w:r>
        <w:rPr>
          <w:rFonts w:ascii="Calibri" w:cs="Calibri" w:eastAsia="Calibri" w:hAnsi="Calibri"/>
          <w:color w:val="1B241E"/>
          <w:sz w:val="21"/>
          <w:szCs w:val="21"/>
        </w:rPr>
        <w:t xml:space="preserve">Gating — the site profile applied as a hard filter plus a soft fit score. Exclusions carry reasons. Unknown values never exclude; they simply earn no fit credit, which caps confidence downstream.</w:t>
      </w:r>
    </w:p>
    <w:p>
      <w:pPr>
        <w:spacing w:after="120" w:line="300"/>
      </w:pPr>
      <w:r>
        <w:rPr>
          <w:rFonts w:ascii="Calibri" w:cs="Calibri" w:eastAsia="Calibri" w:hAnsi="Calibri"/>
          <w:color w:val="1B241E"/>
          <w:sz w:val="21"/>
          <w:szCs w:val="21"/>
        </w:rPr>
        <w:t xml:space="preserve">The encoder is all-MiniLM-L6-v2 when sentence-transformers is installed and a deterministic hashed n-gram encoder otherwise, so CI and offline use exercise the real pipeline rather than skipping it. A Chroma adapter is included for when the corpus outgrows exact search; the retriever contract does not change.</w:t>
      </w:r>
    </w:p>
    <w:p>
      <w:pPr>
        <w:pStyle w:val="Heading2"/>
        <w:spacing w:after="100" w:before="240"/>
      </w:pPr>
      <w:r>
        <w:rPr>
          <w:rFonts w:ascii="Calibri" w:cs="Calibri" w:eastAsia="Calibri" w:hAnsi="Calibri"/>
          <w:b/>
          <w:bCs/>
          <w:color w:val="2F5C43"/>
          <w:sz w:val="22"/>
          <w:szCs w:val="22"/>
        </w:rPr>
        <w:t xml:space="preserve">Multi-metric reasoning</w:t>
      </w:r>
    </w:p>
    <w:p>
      <w:pPr>
        <w:spacing w:after="120" w:line="300"/>
      </w:pPr>
      <w:r>
        <w:rPr>
          <w:rFonts w:ascii="Calibri" w:cs="Calibri" w:eastAsia="Calibri" w:hAnsi="Calibri"/>
          <w:color w:val="1B241E"/>
          <w:sz w:val="21"/>
          <w:szCs w:val="21"/>
        </w:rPr>
        <w:t xml:space="preserve">data/ontology/metrics.yaml defines 21 metrics and 37 signed causal edges, each with a coupling weight, a lag in seasons, and the ecological reason for the link. Signs are expressed in terms of metric value rather than of good or bad, so they compose correctly along a path: residue retention lowers erosion, a negative edge carries that to water quality, and water quality rises — three hops from an action nobody described as a water-quality measure.</w:t>
      </w:r>
    </w:p>
    <w:p>
      <w:pPr>
        <w:spacing w:after="120" w:line="300"/>
      </w:pPr>
      <w:r>
        <w:rPr>
          <w:rFonts w:ascii="Calibri" w:cs="Calibri" w:eastAsia="Calibri" w:hAnsi="Calibri"/>
          <w:color w:val="1B241E"/>
          <w:sz w:val="21"/>
          <w:szCs w:val="21"/>
        </w:rPr>
        <w:t xml:space="preserve">Propagation is breadth-first to depth three with attenuation and a minimum-weight cutoff, keeps the strongest path to each node, and refuses to revisit a node already on the path. Every propagated delta reports the path it travelled and the citation attached to the final edge, so the chain of reasoning is shown rather than asserted.</w:t>
      </w:r>
    </w:p>
    <w:p>
      <w:pPr>
        <w:spacing w:after="80" w:line="300"/>
      </w:pPr>
      <w:r>
        <w:rPr>
          <w:rFonts w:ascii="Calibri" w:cs="Calibri" w:eastAsia="Calibri" w:hAnsi="Calibri"/>
          <w:color w:val="1B241E"/>
          <w:sz w:val="21"/>
          <w:szCs w:val="21"/>
        </w:rPr>
        <w:t xml:space="preserve">Ranking combines severity-weighted constraint alignment, alignment with the primary constraint, domain breadth, evidence strength, cost and site fit. Two overrides sit on top:</w:t>
      </w:r>
    </w:p>
    <w:p>
      <w:pPr>
        <w:pStyle w:val="ListParagraph"/>
        <w:numPr>
          <w:ilvl w:val="0"/>
          <w:numId w:val="2"/>
        </w:numPr>
        <w:spacing w:after="70" w:line="290"/>
      </w:pPr>
      <w:r>
        <w:rPr>
          <w:rFonts w:ascii="Calibri" w:cs="Calibri" w:eastAsia="Calibri" w:hAnsi="Calibri"/>
          <w:color w:val="1B241E"/>
          <w:sz w:val="21"/>
          <w:szCs w:val="21"/>
        </w:rPr>
        <w:t xml:space="preserve">Keystone floors — some actions are a necessary condition for relieving a constraint, and other measures under-deliver until they are in place. These receive a leverage floor rather than losing to a broader, cheaper practice on aggregate score.</w:t>
      </w:r>
    </w:p>
    <w:p>
      <w:pPr>
        <w:pStyle w:val="ListParagraph"/>
        <w:numPr>
          <w:ilvl w:val="0"/>
          <w:numId w:val="2"/>
        </w:numPr>
        <w:spacing w:after="70" w:line="290"/>
      </w:pPr>
      <w:r>
        <w:rPr>
          <w:rFonts w:ascii="Calibri" w:cs="Calibri" w:eastAsia="Calibri" w:hAnsi="Calibri"/>
          <w:color w:val="1B241E"/>
          <w:sz w:val="21"/>
          <w:szCs w:val="21"/>
        </w:rPr>
        <w:t xml:space="preserve">Diversity guard — a fifth carbon practice adds less than a first water practice, so a candidate covering no new metric is dropped, unless its leverage is within 12% of the best on the list.</w:t>
      </w:r>
    </w:p>
    <w:p>
      <w:pPr>
        <w:spacing w:after="120" w:line="300"/>
      </w:pPr>
      <w:r>
        <w:rPr>
          <w:rFonts w:ascii="Calibri" w:cs="Calibri" w:eastAsia="Calibri" w:hAnsi="Calibri"/>
          <w:color w:val="1B241E"/>
          <w:sz w:val="21"/>
          <w:szCs w:val="21"/>
        </w:rPr>
        <w:t xml:space="preserve">The engine then detects synergies, declared conflicts, and metric-level antagonism (two recommendations pushing the same metric in opposite directions) and surfaces all of them instead of hiding them.</w:t>
      </w:r>
    </w:p>
    <w:p>
      <w:pPr>
        <w:pStyle w:val="Heading2"/>
        <w:spacing w:after="100" w:before="240"/>
      </w:pPr>
      <w:r>
        <w:rPr>
          <w:rFonts w:ascii="Calibri" w:cs="Calibri" w:eastAsia="Calibri" w:hAnsi="Calibri"/>
          <w:b/>
          <w:bCs/>
          <w:color w:val="2F5C43"/>
          <w:sz w:val="22"/>
          <w:szCs w:val="22"/>
        </w:rPr>
        <w:t xml:space="preserve">Conversational intelligence</w:t>
      </w:r>
    </w:p>
    <w:p>
      <w:pPr>
        <w:spacing w:after="120" w:line="300"/>
      </w:pPr>
      <w:r>
        <w:rPr>
          <w:rFonts w:ascii="Calibri" w:cs="Calibri" w:eastAsia="Calibri" w:hAnsi="Calibri"/>
          <w:color w:val="1B241E"/>
          <w:sz w:val="21"/>
          <w:szCs w:val="21"/>
        </w:rPr>
        <w:t xml:space="preserve">Clarifying questions are chosen by counterfactual information gain. For each unknown slot the agent fills it with two plausible extreme values, re-runs the entire analysis under both, and measures the Jaccard shift in the recommendation set and in the diagnosis. Slots that would not change the answer are not asked about — which is why the agent asks about pH on an unclassified soil but not about slope on a paddy. The demo displays the resulting figure next to each question.</w:t>
      </w:r>
    </w:p>
    <w:p>
      <w:pPr>
        <w:spacing w:after="120" w:line="300"/>
      </w:pPr>
      <w:r>
        <w:rPr>
          <w:rFonts w:ascii="Calibri" w:cs="Calibri" w:eastAsia="Calibri" w:hAnsi="Calibri"/>
          <w:color w:val="1B241E"/>
          <w:sz w:val="21"/>
          <w:szCs w:val="21"/>
        </w:rPr>
        <w:t xml:space="preserve">The agent answers before it asks: it gives a provisional analysis from what it already has, states that confidence is capped by the missing data, then asks. Questions are never repeated within a session.</w:t>
      </w:r>
    </w:p>
    <w:p>
      <w:pPr>
        <w:spacing w:after="120" w:line="300"/>
      </w:pPr>
      <w:r>
        <w:rPr>
          <w:rFonts w:ascii="Calibri" w:cs="Calibri" w:eastAsia="Calibri" w:hAnsi="Calibri"/>
          <w:color w:val="1B241E"/>
          <w:sz w:val="21"/>
          <w:szCs w:val="21"/>
        </w:rPr>
        <w:t xml:space="preserve">Memory is the profile. Free text and structured JSON write into the same SiteProfile, so a user can type “SOC is 0.3%” in turn one, paste JSON in turn three, and correct “actually it is 0.9%” in turn five, and the engine sees one coherent site. Every write is journalled with its source, so a correction is visibly a correction rather than a silent overwrite.</w:t>
      </w:r>
    </w:p>
    <w:p>
      <w:pPr>
        <w:pStyle w:val="Heading2"/>
        <w:spacing w:after="100" w:before="240"/>
      </w:pPr>
      <w:r>
        <w:rPr>
          <w:rFonts w:ascii="Calibri" w:cs="Calibri" w:eastAsia="Calibri" w:hAnsi="Calibri"/>
          <w:b/>
          <w:bCs/>
          <w:color w:val="2F5C43"/>
          <w:sz w:val="22"/>
          <w:szCs w:val="22"/>
        </w:rPr>
        <w:t xml:space="preserve">Input handling</w:t>
      </w:r>
    </w:p>
    <w:p>
      <w:pPr>
        <w:pStyle w:val="ListParagraph"/>
        <w:numPr>
          <w:ilvl w:val="0"/>
          <w:numId w:val="2"/>
        </w:numPr>
        <w:spacing w:after="70" w:line="290"/>
      </w:pPr>
      <w:r>
        <w:rPr>
          <w:rFonts w:ascii="Calibri" w:cs="Calibri" w:eastAsia="Calibri" w:hAnsi="Calibri"/>
          <w:color w:val="1B241E"/>
          <w:sz w:val="21"/>
          <w:szCs w:val="21"/>
        </w:rPr>
        <w:t xml:space="preserve">Text (mandatory) — conservative regex slot extraction with unit conversion (acres to hectares) and deliberate refusal to guess ambiguous numbers, since a wrong pH silently changes the entire recommendation set.</w:t>
      </w:r>
    </w:p>
    <w:p>
      <w:pPr>
        <w:pStyle w:val="ListParagraph"/>
        <w:numPr>
          <w:ilvl w:val="0"/>
          <w:numId w:val="2"/>
        </w:numPr>
        <w:spacing w:after="70" w:line="290"/>
      </w:pPr>
      <w:r>
        <w:rPr>
          <w:rFonts w:ascii="Calibri" w:cs="Calibri" w:eastAsia="Calibri" w:hAnsi="Calibri"/>
          <w:color w:val="1B241E"/>
          <w:sz w:val="21"/>
          <w:szCs w:val="21"/>
        </w:rPr>
        <w:t xml:space="preserve">Structured JSON — coerced through the declared Pydantic field types, with unknown or uncoercible fields reported back rather than dropped in silence.</w:t>
      </w:r>
    </w:p>
    <w:p>
      <w:pPr>
        <w:pStyle w:val="ListParagraph"/>
        <w:numPr>
          <w:ilvl w:val="0"/>
          <w:numId w:val="2"/>
        </w:numPr>
        <w:spacing w:after="70" w:line="290"/>
      </w:pPr>
      <w:r>
        <w:rPr>
          <w:rFonts w:ascii="Calibri" w:cs="Calibri" w:eastAsia="Calibri" w:hAnsi="Calibri"/>
          <w:color w:val="1B241E"/>
          <w:sz w:val="21"/>
          <w:szCs w:val="21"/>
        </w:rPr>
        <w:t xml:space="preserve">Geo-coordinates (bonus) — parsed and stored from either “26.91, 75.78” or “lat … lon …” phrasing, with range validation.</w:t>
      </w:r>
    </w:p>
    <w:p>
      <w:pPr>
        <w:pStyle w:val="Heading1"/>
        <w:pBdr>
          <w:bottom w:val="single" w:color="C3CCC4" w:sz="6" w:space="6"/>
        </w:pBdr>
        <w:spacing w:after="140" w:before="360"/>
      </w:pPr>
      <w:r>
        <w:rPr>
          <w:rFonts w:ascii="Calibri" w:cs="Calibri" w:eastAsia="Calibri" w:hAnsi="Calibri"/>
          <w:b/>
          <w:bCs/>
          <w:color w:val="1B241E"/>
          <w:sz w:val="27"/>
          <w:szCs w:val="27"/>
        </w:rPr>
        <w:t xml:space="preserve">4. Data model and storage</w:t>
      </w:r>
    </w:p>
    <w:p>
      <w:pPr>
        <w:spacing w:after="120" w:line="300"/>
      </w:pPr>
      <w:r>
        <w:rPr>
          <w:rFonts w:ascii="Calibri" w:cs="Calibri" w:eastAsia="Calibri" w:hAnsi="Calibri"/>
          <w:color w:val="1B241E"/>
          <w:sz w:val="21"/>
          <w:szCs w:val="21"/>
        </w:rPr>
        <w:t xml:space="preserve">There is no relational database, and that is a deliberate choice rather than an omission. The corpus is version-controlled YAML, which a domain scientist can review in a pull request; a row in Postgres is not reviewable that way. The vector index is a persisted numpy matrix in .index/, rebuilt automatically whenever the encoder changes. Session memory is in-process behind a SessionStore interface with two methods, so Redis or Postgres is a drop-in replacement when horizontal scaling is needed.</w:t>
      </w:r>
    </w:p>
    <w:p>
      <w:pPr>
        <w:pStyle w:val="Heading2"/>
        <w:spacing w:after="100" w:before="240"/>
      </w:pPr>
      <w:r>
        <w:rPr>
          <w:rFonts w:ascii="Calibri" w:cs="Calibri" w:eastAsia="Calibri" w:hAnsi="Calibri"/>
          <w:b/>
          <w:bCs/>
          <w:color w:val="2F5C43"/>
          <w:sz w:val="22"/>
          <w:szCs w:val="22"/>
        </w:rPr>
        <w:t xml:space="preserve">EvidenceCard — the retrievable unit</w:t>
      </w:r>
    </w:p>
    <w:tbl>
      <w:tblPr>
        <w:tblW w:type="dxa" w:w="9360"/>
        <w:tblBorders>
          <w:top w:val="single" w:color="C3CCC4" w:sz="4"/>
          <w:left w:val="single" w:color="C3CCC4" w:sz="4"/>
          <w:bottom w:val="single" w:color="C3CCC4" w:sz="4"/>
          <w:right w:val="single" w:color="C3CCC4" w:sz="4"/>
          <w:insideH w:val="single" w:color="C3CCC4" w:sz="4"/>
          <w:insideV w:val="single" w:color="C3CCC4" w:sz="4"/>
        </w:tblBorders>
      </w:tblPr>
      <w:tblGrid>
        <w:gridCol w:w="2300"/>
        <w:gridCol w:w="1500"/>
        <w:gridCol w:w="5560"/>
      </w:tblGrid>
      <w:tr>
        <w:trPr>
          <w:tblHeader/>
        </w:trPr>
        <w:tc>
          <w:tcPr>
            <w:tcW w:type="dxa" w:w="23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Field</w:t>
            </w:r>
          </w:p>
        </w:tc>
        <w:tc>
          <w:tcPr>
            <w:tcW w:type="dxa" w:w="15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Type</w:t>
            </w:r>
          </w:p>
        </w:tc>
        <w:tc>
          <w:tcPr>
            <w:tcW w:type="dxa" w:w="556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Purpose</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id</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string</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Stable identifier, cited in every recommendation and test</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kind</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enum</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intervention · mechanism · context · caution</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summary</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text</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The action itself — rendered as “What to do”</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mechanism</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text</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The causal explanation — rendered as “Why it works”</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effects[]</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object[]</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metric, direction, magnitude, horizon, confidence</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applicability</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object</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land_use[], climate[], numeric windows on soc_pct, ph, rainfall_mm, slope_pct, semi_natural_pct</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prerequisites[]</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string[]</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Conditions without which the practice fails</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tradeoffs[]</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string[]</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Failure modes and costs elsewhere; never dropped in rendering</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synergies[] / conflicts[]</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string[]</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Card references; integrity-checked at load</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cost, reversibility</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enum</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Feed leverage scoring and sequencing</w:t>
            </w:r>
          </w:p>
        </w:tc>
      </w:tr>
      <w:tr>
        <w:tc>
          <w:tcPr>
            <w:tcW w:type="dxa" w:w="23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sources[]</w:t>
            </w:r>
          </w:p>
        </w:tc>
        <w:tc>
          <w:tcPr>
            <w:tcW w:type="dxa" w:w="15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object[]</w:t>
            </w:r>
          </w:p>
        </w:tc>
        <w:tc>
          <w:tcPr>
            <w:tcW w:type="dxa" w:w="55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ref plus the specific finding relied on</w:t>
            </w:r>
          </w:p>
        </w:tc>
      </w:tr>
    </w:tbl>
    <w:p>
      <w:pPr>
        <w:pStyle w:val="Heading2"/>
        <w:spacing w:after="100" w:before="240"/>
      </w:pPr>
      <w:r>
        <w:rPr>
          <w:rFonts w:ascii="Calibri" w:cs="Calibri" w:eastAsia="Calibri" w:hAnsi="Calibri"/>
          <w:b/>
          <w:bCs/>
          <w:color w:val="2F5C43"/>
          <w:sz w:val="22"/>
          <w:szCs w:val="22"/>
        </w:rPr>
        <w:t xml:space="preserve">SiteProfile — the conversation's memory</w:t>
      </w:r>
    </w:p>
    <w:p>
      <w:pPr>
        <w:spacing w:after="120" w:line="300"/>
      </w:pPr>
      <w:r>
        <w:rPr>
          <w:rFonts w:ascii="Calibri" w:cs="Calibri" w:eastAsia="Calibri" w:hAnsi="Calibri"/>
          <w:color w:val="1B241E"/>
          <w:sz w:val="21"/>
          <w:szCs w:val="21"/>
        </w:rPr>
        <w:t xml:space="preserve">Every field is optional; the conversation layer fills slots incrementally and the engine degrades gracefully and says so. Fields: land_use, secondary_land_use, climate_zone, region, latitude, longitude, area_ha, rainfall_mm, rainfall_trend, mean_temp_c, soc_pct, ph, soil_moisture_status, soil_texture, slope_pct, semi_natural_pct, tree_density_per_ha, crop, cropping_pattern, irrigation_source, livestock, species_observations[], pressures[], concerns[], notes[].</w:t>
      </w:r>
    </w:p>
    <w:p>
      <w:pPr>
        <w:pStyle w:val="Heading2"/>
        <w:spacing w:after="100" w:before="240"/>
      </w:pPr>
      <w:r>
        <w:rPr>
          <w:rFonts w:ascii="Calibri" w:cs="Calibri" w:eastAsia="Calibri" w:hAnsi="Calibri"/>
          <w:b/>
          <w:bCs/>
          <w:color w:val="2F5C43"/>
          <w:sz w:val="22"/>
          <w:szCs w:val="22"/>
        </w:rPr>
        <w:t xml:space="preserve">Recommendation — the output contract</w:t>
      </w:r>
    </w:p>
    <w:p>
      <w:pPr>
        <w:spacing w:after="120" w:line="300"/>
      </w:pPr>
      <w:r>
        <w:rPr>
          <w:rFonts w:ascii="Calibri" w:cs="Calibri" w:eastAsia="Calibri" w:hAnsi="Calibri"/>
          <w:color w:val="1B241E"/>
          <w:sz w:val="21"/>
          <w:szCs w:val="21"/>
        </w:rPr>
        <w:t xml:space="preserve">action, rationale, metric_deltas[] (direct and propagated, each with horizon, confidence, causal path and reason), horizon, confidence, confidence_basis[], prerequisites[], tradeoffs[], sources[], leverage_score, sequence_stage, monitoring[]. The four mandatory parts required by the brief — what to do, why it works, which metrics improve, and the reference — are structurally guaranteed rather than prompted for, and a test asserts their presence in the rendered output.</w:t>
      </w:r>
    </w:p>
    <w:p>
      <w:pPr>
        <w:pStyle w:val="Heading2"/>
        <w:spacing w:after="100" w:before="240"/>
      </w:pPr>
      <w:r>
        <w:rPr>
          <w:rFonts w:ascii="Calibri" w:cs="Calibri" w:eastAsia="Calibri" w:hAnsi="Calibri"/>
          <w:b/>
          <w:bCs/>
          <w:color w:val="2F5C43"/>
          <w:sz w:val="22"/>
          <w:szCs w:val="22"/>
        </w:rPr>
        <w:t xml:space="preserve">Metric ontology</w:t>
      </w:r>
    </w:p>
    <w:p>
      <w:pPr>
        <w:spacing w:after="120" w:line="300"/>
      </w:pPr>
      <w:r>
        <w:rPr>
          <w:rFonts w:ascii="Calibri" w:cs="Calibri" w:eastAsia="Calibri" w:hAnsi="Calibri"/>
          <w:color w:val="1B241E"/>
          <w:sz w:val="21"/>
          <w:szCs w:val="21"/>
        </w:rPr>
        <w:t xml:space="preserve">21 metric nodes across soil, water, biodiversity, climate, land use, human impact and livelihood domains, each with a unit, interpretation bands where they exist, and a higher_is_better flag. 37 signed edges carry weight, lag and rationale. Declared antagonisms name the tensions the engine must surface when two recommendations pull against each other.</w:t>
      </w:r>
    </w:p>
    <w:p>
      <w:pPr>
        <w:pStyle w:val="Heading1"/>
        <w:pBdr>
          <w:bottom w:val="single" w:color="C3CCC4" w:sz="6" w:space="6"/>
        </w:pBdr>
        <w:spacing w:after="140" w:before="360"/>
      </w:pPr>
      <w:r>
        <w:rPr>
          <w:rFonts w:ascii="Calibri" w:cs="Calibri" w:eastAsia="Calibri" w:hAnsi="Calibri"/>
          <w:b/>
          <w:bCs/>
          <w:color w:val="1B241E"/>
          <w:sz w:val="27"/>
          <w:szCs w:val="27"/>
        </w:rPr>
        <w:t xml:space="preserve">5. Local setup</w:t>
      </w:r>
    </w:p>
    <w:p>
      <w:pPr>
        <w:shd w:fill="F2F4F1" w:val="clear"/>
        <w:spacing w:after="0" w:line="260"/>
        <w:ind w:left="172"/>
      </w:pPr>
      <w:r>
        <w:rPr>
          <w:rFonts w:ascii="Consolas" w:cs="Consolas" w:eastAsia="Consolas" w:hAnsi="Consolas"/>
          <w:color w:val="1B241E"/>
          <w:sz w:val="18"/>
          <w:szCs w:val="18"/>
        </w:rPr>
        <w:t xml:space="preserve">git clone https://github.com/Sushant332/darukaa-biointel.git</w:t>
      </w:r>
    </w:p>
    <w:p>
      <w:pPr>
        <w:shd w:fill="F2F4F1" w:val="clear"/>
        <w:spacing w:after="0" w:line="260"/>
        <w:ind w:left="172"/>
      </w:pPr>
      <w:r>
        <w:rPr>
          <w:rFonts w:ascii="Consolas" w:cs="Consolas" w:eastAsia="Consolas" w:hAnsi="Consolas"/>
          <w:color w:val="1B241E"/>
          <w:sz w:val="18"/>
          <w:szCs w:val="18"/>
        </w:rPr>
        <w:t xml:space="preserve">cd darukaa-biointel</w:t>
      </w:r>
    </w:p>
    <w:p>
      <w:pPr>
        <w:shd w:fill="F2F4F1" w:val="clear"/>
        <w:spacing w:after="0" w:line="260"/>
        <w:ind w:left="172"/>
      </w:pPr>
      <w:r>
        <w:rPr>
          <w:rFonts w:ascii="Consolas" w:cs="Consolas" w:eastAsia="Consolas" w:hAnsi="Consolas"/>
          <w:color w:val="1B241E"/>
          <w:sz w:val="18"/>
          <w:szCs w:val="18"/>
        </w:rPr>
        <w:t xml:space="preserve">python -m venv .venv &amp;&amp; source .venv/bin/activate</w:t>
      </w:r>
    </w:p>
    <w:p>
      <w:pPr>
        <w:shd w:fill="F2F4F1" w:val="clear"/>
        <w:spacing w:after="0" w:line="260"/>
        <w:ind w:left="172"/>
      </w:pPr>
      <w:r>
        <w:rPr>
          <w:rFonts w:ascii="Consolas" w:cs="Consolas" w:eastAsia="Consolas" w:hAnsi="Consolas"/>
          <w:color w:val="1B241E"/>
          <w:sz w:val="18"/>
          <w:szCs w:val="18"/>
        </w:rPr>
        <w:t xml:space="preserve">pip install -r requirements-dev.txt</w:t>
      </w:r>
    </w:p>
    <w:p>
      <w:pPr>
        <w:shd w:fill="F2F4F1" w:val="clear"/>
        <w:spacing w:after="0" w:line="260"/>
        <w:ind w:left="172"/>
      </w:pPr>
      <w:r>
        <w:rPr>
          <w:rFonts w:ascii="Consolas" w:cs="Consolas" w:eastAsia="Consolas" w:hAnsi="Consolas"/>
          <w:color w:val="1B241E"/>
          <w:sz w:val="18"/>
          <w:szCs w:val="18"/>
        </w:rPr>
        <w:t xml:space="preserve"/>
      </w:r>
    </w:p>
    <w:p>
      <w:pPr>
        <w:shd w:fill="F2F4F1" w:val="clear"/>
        <w:spacing w:after="0" w:line="260"/>
        <w:ind w:left="172"/>
      </w:pPr>
      <w:r>
        <w:rPr>
          <w:rFonts w:ascii="Consolas" w:cs="Consolas" w:eastAsia="Consolas" w:hAnsi="Consolas"/>
          <w:color w:val="1B241E"/>
          <w:sz w:val="18"/>
          <w:szCs w:val="18"/>
        </w:rPr>
        <w:t xml:space="preserve"># optional: real encoder, Chroma backend, model narration</w:t>
      </w:r>
    </w:p>
    <w:p>
      <w:pPr>
        <w:shd w:fill="F2F4F1" w:val="clear"/>
        <w:spacing w:after="0" w:line="260"/>
        <w:ind w:left="172"/>
      </w:pPr>
      <w:r>
        <w:rPr>
          <w:rFonts w:ascii="Consolas" w:cs="Consolas" w:eastAsia="Consolas" w:hAnsi="Consolas"/>
          <w:color w:val="1B241E"/>
          <w:sz w:val="18"/>
          <w:szCs w:val="18"/>
        </w:rPr>
        <w:t xml:space="preserve">pip install -r requirements-optional.txt</w:t>
      </w:r>
    </w:p>
    <w:p>
      <w:pPr>
        <w:shd w:fill="F2F4F1" w:val="clear"/>
        <w:spacing w:after="0" w:line="260"/>
        <w:ind w:left="172"/>
      </w:pPr>
      <w:r>
        <w:rPr>
          <w:rFonts w:ascii="Consolas" w:cs="Consolas" w:eastAsia="Consolas" w:hAnsi="Consolas"/>
          <w:color w:val="1B241E"/>
          <w:sz w:val="18"/>
          <w:szCs w:val="18"/>
        </w:rPr>
        <w:t xml:space="preserve">export ANTHROPIC_API_KEY=sk-...        # optional; renderer used without it</w:t>
      </w:r>
    </w:p>
    <w:p>
      <w:pPr>
        <w:shd w:fill="F2F4F1" w:val="clear"/>
        <w:spacing w:after="0" w:line="260"/>
        <w:ind w:left="172"/>
      </w:pPr>
      <w:r>
        <w:rPr>
          <w:rFonts w:ascii="Consolas" w:cs="Consolas" w:eastAsia="Consolas" w:hAnsi="Consolas"/>
          <w:color w:val="1B241E"/>
          <w:sz w:val="18"/>
          <w:szCs w:val="18"/>
        </w:rPr>
        <w:t xml:space="preserve"/>
      </w:r>
    </w:p>
    <w:p>
      <w:pPr>
        <w:shd w:fill="F2F4F1" w:val="clear"/>
        <w:spacing w:after="0" w:line="260"/>
        <w:ind w:left="172"/>
      </w:pPr>
      <w:r>
        <w:rPr>
          <w:rFonts w:ascii="Consolas" w:cs="Consolas" w:eastAsia="Consolas" w:hAnsi="Consolas"/>
          <w:color w:val="1B241E"/>
          <w:sz w:val="18"/>
          <w:szCs w:val="18"/>
        </w:rPr>
        <w:t xml:space="preserve">pytest -q                               # 26 behavioural tests</w:t>
      </w:r>
    </w:p>
    <w:p>
      <w:pPr>
        <w:shd w:fill="F2F4F1" w:val="clear"/>
        <w:spacing w:after="0" w:line="260"/>
        <w:ind w:left="172"/>
      </w:pPr>
      <w:r>
        <w:rPr>
          <w:rFonts w:ascii="Consolas" w:cs="Consolas" w:eastAsia="Consolas" w:hAnsi="Consolas"/>
          <w:color w:val="1B241E"/>
          <w:sz w:val="18"/>
          <w:szCs w:val="18"/>
        </w:rPr>
        <w:t xml:space="preserve">python eval/run_eval.py                 # golden-case scores</w:t>
      </w:r>
    </w:p>
    <w:p>
      <w:pPr>
        <w:shd w:fill="F2F4F1" w:val="clear"/>
        <w:spacing w:after="0" w:line="260"/>
        <w:ind w:left="172"/>
      </w:pPr>
      <w:r>
        <w:rPr>
          <w:rFonts w:ascii="Consolas" w:cs="Consolas" w:eastAsia="Consolas" w:hAnsi="Consolas"/>
          <w:color w:val="1B241E"/>
          <w:sz w:val="18"/>
          <w:szCs w:val="18"/>
        </w:rPr>
        <w:t xml:space="preserve">uvicorn biointel.api.main:app --reload  # http://localhost:8000/docs</w:t>
      </w:r>
    </w:p>
    <w:p>
      <w:pPr>
        <w:shd w:fill="F2F4F1" w:val="clear"/>
        <w:spacing w:after="0" w:line="260"/>
        <w:ind w:left="172"/>
      </w:pPr>
      <w:r>
        <w:rPr>
          <w:rFonts w:ascii="Consolas" w:cs="Consolas" w:eastAsia="Consolas" w:hAnsi="Consolas"/>
          <w:color w:val="1B241E"/>
          <w:sz w:val="18"/>
          <w:szCs w:val="18"/>
        </w:rPr>
        <w:t xml:space="preserve"/>
      </w:r>
    </w:p>
    <w:p>
      <w:pPr>
        <w:shd w:fill="F2F4F1" w:val="clear"/>
        <w:spacing w:after="0" w:line="260"/>
        <w:ind w:left="172"/>
      </w:pPr>
      <w:r>
        <w:rPr>
          <w:rFonts w:ascii="Consolas" w:cs="Consolas" w:eastAsia="Consolas" w:hAnsi="Consolas"/>
          <w:color w:val="1B241E"/>
          <w:sz w:val="18"/>
          <w:szCs w:val="18"/>
        </w:rPr>
        <w:t xml:space="preserve"># CLI</w:t>
      </w:r>
    </w:p>
    <w:p>
      <w:pPr>
        <w:shd w:fill="F2F4F1" w:val="clear"/>
        <w:spacing w:after="0" w:line="260"/>
        <w:ind w:left="172"/>
      </w:pPr>
      <w:r>
        <w:rPr>
          <w:rFonts w:ascii="Consolas" w:cs="Consolas" w:eastAsia="Consolas" w:hAnsi="Consolas"/>
          <w:color w:val="1B241E"/>
          <w:sz w:val="18"/>
          <w:szCs w:val="18"/>
        </w:rPr>
        <w:t xml:space="preserve">python -m biointel.cli                                     # conversational</w:t>
      </w:r>
    </w:p>
    <w:p>
      <w:pPr>
        <w:shd w:fill="F2F4F1" w:val="clear"/>
        <w:spacing w:after="0" w:line="260"/>
        <w:ind w:left="172"/>
      </w:pPr>
      <w:r>
        <w:rPr>
          <w:rFonts w:ascii="Consolas" w:cs="Consolas" w:eastAsia="Consolas" w:hAnsi="Consolas"/>
          <w:color w:val="1B241E"/>
          <w:sz w:val="18"/>
          <w:szCs w:val="18"/>
        </w:rPr>
        <w:t xml:space="preserve">python -m biointel.cli --json site.json --question "..."    # one-shot</w:t>
      </w:r>
    </w:p>
    <w:p>
      <w:pPr>
        <w:shd w:fill="F2F4F1" w:val="clear"/>
        <w:spacing w:after="0" w:line="260"/>
        <w:ind w:left="172"/>
      </w:pPr>
      <w:r>
        <w:rPr>
          <w:rFonts w:ascii="Consolas" w:cs="Consolas" w:eastAsia="Consolas" w:hAnsi="Consolas"/>
          <w:color w:val="1B241E"/>
          <w:sz w:val="18"/>
          <w:szCs w:val="18"/>
        </w:rPr>
        <w:t xml:space="preserve">python -m biointel.cli --search "sodic soil infiltration"   # inspect retrieval</w:t>
      </w:r>
    </w:p>
    <w:p>
      <w:pPr>
        <w:shd w:fill="F2F4F1" w:val="clear"/>
        <w:spacing w:after="0" w:line="260"/>
        <w:ind w:left="172"/>
      </w:pPr>
      <w:r>
        <w:rPr>
          <w:rFonts w:ascii="Consolas" w:cs="Consolas" w:eastAsia="Consolas" w:hAnsi="Consolas"/>
          <w:color w:val="1B241E"/>
          <w:sz w:val="18"/>
          <w:szCs w:val="18"/>
        </w:rPr>
        <w:t xml:space="preserve"/>
      </w:r>
    </w:p>
    <w:p>
      <w:pPr>
        <w:shd w:fill="F2F4F1" w:val="clear"/>
        <w:spacing w:after="0" w:line="260"/>
        <w:ind w:left="172"/>
      </w:pPr>
      <w:r>
        <w:rPr>
          <w:rFonts w:ascii="Consolas" w:cs="Consolas" w:eastAsia="Consolas" w:hAnsi="Consolas"/>
          <w:color w:val="1B241E"/>
          <w:sz w:val="18"/>
          <w:szCs w:val="18"/>
        </w:rPr>
        <w:t xml:space="preserve"># Docker</w:t>
      </w:r>
    </w:p>
    <w:p>
      <w:pPr>
        <w:shd w:fill="F2F4F1" w:val="clear"/>
        <w:spacing w:after="140" w:line="260"/>
        <w:ind w:left="172"/>
      </w:pPr>
      <w:r>
        <w:rPr>
          <w:rFonts w:ascii="Consolas" w:cs="Consolas" w:eastAsia="Consolas" w:hAnsi="Consolas"/>
          <w:color w:val="1B241E"/>
          <w:sz w:val="18"/>
          <w:szCs w:val="18"/>
        </w:rPr>
        <w:t xml:space="preserve">docker compose up --build               # http://localhost:8000</w:t>
      </w:r>
    </w:p>
    <w:p>
      <w:pPr>
        <w:spacing w:after="120" w:line="300"/>
      </w:pPr>
      <w:r>
        <w:rPr>
          <w:rFonts w:ascii="Calibri" w:cs="Calibri" w:eastAsia="Calibri" w:hAnsi="Calibri"/>
          <w:color w:val="55625A"/>
          <w:sz w:val="20"/>
          <w:szCs w:val="20"/>
        </w:rPr>
        <w:t xml:space="preserve">The Docker image warms the vector index at build time so the first request is not the slow one. Python 3.11 or 3.12.</w:t>
      </w:r>
    </w:p>
    <w:p>
      <w:pPr>
        <w:pStyle w:val="Heading2"/>
        <w:spacing w:after="100" w:before="240"/>
      </w:pPr>
      <w:r>
        <w:rPr>
          <w:rFonts w:ascii="Calibri" w:cs="Calibri" w:eastAsia="Calibri" w:hAnsi="Calibri"/>
          <w:b/>
          <w:bCs/>
          <w:color w:val="2F5C43"/>
          <w:sz w:val="22"/>
          <w:szCs w:val="22"/>
        </w:rPr>
        <w:t xml:space="preserve">Environment variables</w:t>
      </w:r>
    </w:p>
    <w:tbl>
      <w:tblPr>
        <w:tblW w:type="dxa" w:w="9360"/>
        <w:tblBorders>
          <w:top w:val="single" w:color="C3CCC4" w:sz="4"/>
          <w:left w:val="single" w:color="C3CCC4" w:sz="4"/>
          <w:bottom w:val="single" w:color="C3CCC4" w:sz="4"/>
          <w:right w:val="single" w:color="C3CCC4" w:sz="4"/>
          <w:insideH w:val="single" w:color="C3CCC4" w:sz="4"/>
          <w:insideV w:val="single" w:color="C3CCC4" w:sz="4"/>
        </w:tblBorders>
      </w:tblPr>
      <w:tblGrid>
        <w:gridCol w:w="2800"/>
        <w:gridCol w:w="1900"/>
        <w:gridCol w:w="4660"/>
      </w:tblGrid>
      <w:tr>
        <w:trPr>
          <w:tblHeader/>
        </w:trPr>
        <w:tc>
          <w:tcPr>
            <w:tcW w:type="dxa" w:w="28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Variable</w:t>
            </w:r>
          </w:p>
        </w:tc>
        <w:tc>
          <w:tcPr>
            <w:tcW w:type="dxa" w:w="19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Default</w:t>
            </w:r>
          </w:p>
        </w:tc>
        <w:tc>
          <w:tcPr>
            <w:tcW w:type="dxa" w:w="466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Effect</w:t>
            </w:r>
          </w:p>
        </w:tc>
      </w:tr>
      <w:tr>
        <w:tc>
          <w:tcPr>
            <w:tcW w:type="dxa" w:w="28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ANTHROPIC_API_KEY</w:t>
            </w:r>
          </w:p>
        </w:tc>
        <w:tc>
          <w:tcPr>
            <w:tcW w:type="dxa" w:w="19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unset</w:t>
            </w:r>
          </w:p>
        </w:tc>
        <w:tc>
          <w:tcPr>
            <w:tcW w:type="dxa" w:w="46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Enables model narration; the deterministic renderer is used when absent</w:t>
            </w:r>
          </w:p>
        </w:tc>
      </w:tr>
      <w:tr>
        <w:tc>
          <w:tcPr>
            <w:tcW w:type="dxa" w:w="28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BIOINTEL_USE_ST</w:t>
            </w:r>
          </w:p>
        </w:tc>
        <w:tc>
          <w:tcPr>
            <w:tcW w:type="dxa" w:w="19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auto</w:t>
            </w:r>
          </w:p>
        </w:tc>
        <w:tc>
          <w:tcPr>
            <w:tcW w:type="dxa" w:w="46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Set to “no” to force the deterministic encoder (used in CI)</w:t>
            </w:r>
          </w:p>
        </w:tc>
      </w:tr>
      <w:tr>
        <w:tc>
          <w:tcPr>
            <w:tcW w:type="dxa" w:w="28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BIOINTEL_EMBED_MODEL</w:t>
            </w:r>
          </w:p>
        </w:tc>
        <w:tc>
          <w:tcPr>
            <w:tcW w:type="dxa" w:w="19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all-MiniLM-L6-v2</w:t>
            </w:r>
          </w:p>
        </w:tc>
        <w:tc>
          <w:tcPr>
            <w:tcW w:type="dxa" w:w="46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Dense encoder</w:t>
            </w:r>
          </w:p>
        </w:tc>
      </w:tr>
      <w:tr>
        <w:tc>
          <w:tcPr>
            <w:tcW w:type="dxa" w:w="28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BIOINTEL_INDEX_DIR</w:t>
            </w:r>
          </w:p>
        </w:tc>
        <w:tc>
          <w:tcPr>
            <w:tcW w:type="dxa" w:w="19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.index</w:t>
            </w:r>
          </w:p>
        </w:tc>
        <w:tc>
          <w:tcPr>
            <w:tcW w:type="dxa" w:w="46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Vector index location</w:t>
            </w:r>
          </w:p>
        </w:tc>
      </w:tr>
      <w:tr>
        <w:tc>
          <w:tcPr>
            <w:tcW w:type="dxa" w:w="2800"/>
            <w:tcMar>
              <w:top w:type="dxa" w:w="70"/>
              <w:left w:type="dxa" w:w="110"/>
              <w:bottom w:type="dxa" w:w="70"/>
              <w:right w:type="dxa" w:w="110"/>
            </w:tcMar>
          </w:tcPr>
          <w:p>
            <w:pPr>
              <w:spacing w:after="0" w:line="280"/>
            </w:pPr>
            <w:r>
              <w:rPr>
                <w:rFonts w:ascii="Consolas" w:cs="Consolas" w:eastAsia="Consolas" w:hAnsi="Consolas"/>
                <w:color w:val="1B241E"/>
                <w:sz w:val="18"/>
                <w:szCs w:val="18"/>
              </w:rPr>
              <w:t xml:space="preserve">BIOINTEL_MAX_RECS</w:t>
            </w:r>
          </w:p>
        </w:tc>
        <w:tc>
          <w:tcPr>
            <w:tcW w:type="dxa" w:w="19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5</w:t>
            </w:r>
          </w:p>
        </w:tc>
        <w:tc>
          <w:tcPr>
            <w:tcW w:type="dxa" w:w="46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Recommendations per analysis</w:t>
            </w:r>
          </w:p>
        </w:tc>
      </w:tr>
    </w:tbl>
    <w:p>
      <w:pPr>
        <w:pStyle w:val="Heading2"/>
        <w:spacing w:after="100" w:before="240"/>
      </w:pPr>
      <w:r>
        <w:rPr>
          <w:rFonts w:ascii="Calibri" w:cs="Calibri" w:eastAsia="Calibri" w:hAnsi="Calibri"/>
          <w:b/>
          <w:bCs/>
          <w:color w:val="2F5C43"/>
          <w:sz w:val="22"/>
          <w:szCs w:val="22"/>
        </w:rPr>
        <w:t xml:space="preserve">API surface</w:t>
      </w:r>
    </w:p>
    <w:tbl>
      <w:tblPr>
        <w:tblW w:type="dxa" w:w="9360"/>
        <w:tblBorders>
          <w:top w:val="single" w:color="C3CCC4" w:sz="4"/>
          <w:left w:val="single" w:color="C3CCC4" w:sz="4"/>
          <w:bottom w:val="single" w:color="C3CCC4" w:sz="4"/>
          <w:right w:val="single" w:color="C3CCC4" w:sz="4"/>
          <w:insideH w:val="single" w:color="C3CCC4" w:sz="4"/>
          <w:insideV w:val="single" w:color="C3CCC4" w:sz="4"/>
        </w:tblBorders>
      </w:tblPr>
      <w:tblGrid>
        <w:gridCol w:w="3000"/>
        <w:gridCol w:w="6360"/>
      </w:tblGrid>
      <w:tr>
        <w:trPr>
          <w:tblHeader/>
        </w:trPr>
        <w:tc>
          <w:tcPr>
            <w:tcW w:type="dxa" w:w="300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Endpoint</w:t>
            </w:r>
          </w:p>
        </w:tc>
        <w:tc>
          <w:tcPr>
            <w:tcW w:type="dxa" w:w="6360"/>
            <w:shd w:fill="EBF0EB" w:val="clear"/>
            <w:tcMar>
              <w:top w:type="dxa" w:w="70"/>
              <w:left w:type="dxa" w:w="110"/>
              <w:bottom w:type="dxa" w:w="70"/>
              <w:right w:type="dxa" w:w="110"/>
            </w:tcMar>
          </w:tcPr>
          <w:p>
            <w:pPr>
              <w:spacing w:after="0" w:line="280"/>
            </w:pPr>
            <w:r>
              <w:rPr>
                <w:rFonts w:ascii="Calibri" w:cs="Calibri" w:eastAsia="Calibri" w:hAnsi="Calibri"/>
                <w:b/>
                <w:bCs/>
                <w:color w:val="1B241E"/>
                <w:sz w:val="20"/>
                <w:szCs w:val="20"/>
              </w:rPr>
              <w:t xml:space="preserve">Purpose</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GET  /health</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Status, card count, active encoder</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POST /chat</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Conversational turn: reply, analysis, updated profile, questions</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POST /analyze</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One-shot structured analysis, optionally rendered to markdown</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POST /kb/search</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Raw retrieval with ranks, fit scores and exclusion reasons</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GET  /kb/cards</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The full corpus</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GET  /session/{id}</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Profile, write journal, asked slots, turn history</w:t>
            </w:r>
          </w:p>
        </w:tc>
      </w:tr>
      <w:tr>
        <w:tc>
          <w:tcPr>
            <w:tcW w:type="dxa" w:w="300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DELETE /session/{id}</w:t>
            </w:r>
          </w:p>
        </w:tc>
        <w:tc>
          <w:tcPr>
            <w:tcW w:type="dxa" w:w="6360"/>
            <w:tcMar>
              <w:top w:type="dxa" w:w="70"/>
              <w:left w:type="dxa" w:w="110"/>
              <w:bottom w:type="dxa" w:w="70"/>
              <w:right w:type="dxa" w:w="110"/>
            </w:tcMar>
          </w:tcPr>
          <w:p>
            <w:pPr>
              <w:spacing w:after="0" w:line="280"/>
            </w:pPr>
            <w:r>
              <w:rPr>
                <w:rFonts w:ascii="Calibri" w:cs="Calibri" w:eastAsia="Calibri" w:hAnsi="Calibri"/>
                <w:color w:val="1B241E"/>
                <w:sz w:val="20"/>
                <w:szCs w:val="20"/>
              </w:rPr>
              <w:t xml:space="preserve">Reset memory</w:t>
            </w:r>
          </w:p>
        </w:tc>
      </w:tr>
    </w:tbl>
    <w:p>
      <w:pPr>
        <w:pStyle w:val="Heading1"/>
        <w:pBdr>
          <w:bottom w:val="single" w:color="C3CCC4" w:sz="6" w:space="6"/>
        </w:pBdr>
        <w:spacing w:after="140" w:before="360"/>
      </w:pPr>
      <w:r>
        <w:rPr>
          <w:rFonts w:ascii="Calibri" w:cs="Calibri" w:eastAsia="Calibri" w:hAnsi="Calibri"/>
          <w:b/>
          <w:bCs/>
          <w:color w:val="1B241E"/>
          <w:sz w:val="27"/>
          <w:szCs w:val="27"/>
        </w:rPr>
        <w:t xml:space="preserve">6. Testing, evaluation and CI/CD</w:t>
      </w:r>
    </w:p>
    <w:p>
      <w:pPr>
        <w:spacing w:after="80" w:line="300"/>
      </w:pPr>
      <w:r>
        <w:rPr>
          <w:rFonts w:ascii="Calibri" w:cs="Calibri" w:eastAsia="Calibri" w:hAnsi="Calibri"/>
          <w:color w:val="1B241E"/>
          <w:sz w:val="21"/>
          <w:szCs w:val="21"/>
        </w:rPr>
        <w:t xml:space="preserve">The test suite asserts on reasoning properties rather than strings — the things that would make the system wrong in a way a user could not detect:</w:t>
      </w:r>
    </w:p>
    <w:p>
      <w:pPr>
        <w:pStyle w:val="ListParagraph"/>
        <w:numPr>
          <w:ilvl w:val="0"/>
          <w:numId w:val="2"/>
        </w:numPr>
        <w:spacing w:after="70" w:line="290"/>
      </w:pPr>
      <w:r>
        <w:rPr>
          <w:rFonts w:ascii="Calibri" w:cs="Calibri" w:eastAsia="Calibri" w:hAnsi="Calibri"/>
          <w:color w:val="1B241E"/>
          <w:sz w:val="21"/>
          <w:szCs w:val="21"/>
        </w:rPr>
        <w:t xml:space="preserve">Liming is never recommended on an alkaline soil, and the refusal carries a stated reason.</w:t>
      </w:r>
    </w:p>
    <w:p>
      <w:pPr>
        <w:pStyle w:val="ListParagraph"/>
        <w:numPr>
          <w:ilvl w:val="0"/>
          <w:numId w:val="2"/>
        </w:numPr>
        <w:spacing w:after="70" w:line="290"/>
      </w:pPr>
      <w:r>
        <w:rPr>
          <w:rFonts w:ascii="Calibri" w:cs="Calibri" w:eastAsia="Calibri" w:hAnsi="Calibri"/>
          <w:color w:val="1B241E"/>
          <w:sz w:val="21"/>
          <w:szCs w:val="21"/>
        </w:rPr>
        <w:t xml:space="preserve">Dryland planting-pit advice never reaches a humid paddy.</w:t>
      </w:r>
    </w:p>
    <w:p>
      <w:pPr>
        <w:pStyle w:val="ListParagraph"/>
        <w:numPr>
          <w:ilvl w:val="0"/>
          <w:numId w:val="2"/>
        </w:numPr>
        <w:spacing w:after="70" w:line="290"/>
      </w:pPr>
      <w:r>
        <w:rPr>
          <w:rFonts w:ascii="Calibri" w:cs="Calibri" w:eastAsia="Calibri" w:hAnsi="Calibri"/>
          <w:color w:val="1B241E"/>
          <w:sz w:val="21"/>
          <w:szCs w:val="21"/>
        </w:rPr>
        <w:t xml:space="preserve">Exact technical terms remain recoverable (Faidherbia albida, neonicotinoid).</w:t>
      </w:r>
    </w:p>
    <w:p>
      <w:pPr>
        <w:pStyle w:val="ListParagraph"/>
        <w:numPr>
          <w:ilvl w:val="0"/>
          <w:numId w:val="2"/>
        </w:numPr>
        <w:spacing w:after="70" w:line="290"/>
      </w:pPr>
      <w:r>
        <w:rPr>
          <w:rFonts w:ascii="Calibri" w:cs="Calibri" w:eastAsia="Calibri" w:hAnsi="Calibri"/>
          <w:color w:val="1B241E"/>
          <w:sz w:val="21"/>
          <w:szCs w:val="21"/>
        </w:rPr>
        <w:t xml:space="preserve">A site with healthy carbon is not diagnosed as a carbon problem.</w:t>
      </w:r>
    </w:p>
    <w:p>
      <w:pPr>
        <w:pStyle w:val="ListParagraph"/>
        <w:numPr>
          <w:ilvl w:val="0"/>
          <w:numId w:val="2"/>
        </w:numPr>
        <w:spacing w:after="70" w:line="290"/>
      </w:pPr>
      <w:r>
        <w:rPr>
          <w:rFonts w:ascii="Calibri" w:cs="Calibri" w:eastAsia="Calibri" w:hAnsi="Calibri"/>
          <w:color w:val="1B241E"/>
          <w:sz w:val="21"/>
          <w:szCs w:val="21"/>
        </w:rPr>
        <w:t xml:space="preserve">Causal signs compose correctly along multi-hop paths.</w:t>
      </w:r>
    </w:p>
    <w:p>
      <w:pPr>
        <w:pStyle w:val="ListParagraph"/>
        <w:numPr>
          <w:ilvl w:val="0"/>
          <w:numId w:val="2"/>
        </w:numPr>
        <w:spacing w:after="70" w:line="290"/>
      </w:pPr>
      <w:r>
        <w:rPr>
          <w:rFonts w:ascii="Calibri" w:cs="Calibri" w:eastAsia="Calibri" w:hAnsi="Calibri"/>
          <w:color w:val="1B241E"/>
          <w:sz w:val="21"/>
          <w:szCs w:val="21"/>
        </w:rPr>
        <w:t xml:space="preserve">Every recommendation spans at least two domains and includes a propagated effect.</w:t>
      </w:r>
    </w:p>
    <w:p>
      <w:pPr>
        <w:pStyle w:val="ListParagraph"/>
        <w:numPr>
          <w:ilvl w:val="0"/>
          <w:numId w:val="2"/>
        </w:numPr>
        <w:spacing w:after="70" w:line="290"/>
      </w:pPr>
      <w:r>
        <w:rPr>
          <w:rFonts w:ascii="Calibri" w:cs="Calibri" w:eastAsia="Calibri" w:hAnsi="Calibri"/>
          <w:color w:val="1B241E"/>
          <w:sz w:val="21"/>
          <w:szCs w:val="21"/>
        </w:rPr>
        <w:t xml:space="preserve">Stop conditions outrank optimisation in the sequence.</w:t>
      </w:r>
    </w:p>
    <w:p>
      <w:pPr>
        <w:pStyle w:val="ListParagraph"/>
        <w:numPr>
          <w:ilvl w:val="0"/>
          <w:numId w:val="2"/>
        </w:numPr>
        <w:spacing w:after="70" w:line="290"/>
      </w:pPr>
      <w:r>
        <w:rPr>
          <w:rFonts w:ascii="Calibri" w:cs="Calibri" w:eastAsia="Calibri" w:hAnsi="Calibri"/>
          <w:color w:val="1B241E"/>
          <w:sz w:val="21"/>
          <w:szCs w:val="21"/>
        </w:rPr>
        <w:t xml:space="preserve">Corrections update memory and are journalled as corrections.</w:t>
      </w:r>
    </w:p>
    <w:p>
      <w:pPr>
        <w:pStyle w:val="ListParagraph"/>
        <w:numPr>
          <w:ilvl w:val="0"/>
          <w:numId w:val="2"/>
        </w:numPr>
        <w:spacing w:after="70" w:line="290"/>
      </w:pPr>
      <w:r>
        <w:rPr>
          <w:rFonts w:ascii="Calibri" w:cs="Calibri" w:eastAsia="Calibri" w:hAnsi="Calibri"/>
          <w:color w:val="1B241E"/>
          <w:sz w:val="21"/>
          <w:szCs w:val="21"/>
        </w:rPr>
        <w:t xml:space="preserve">Information gain is lower for slots that do not change the answer.</w:t>
      </w:r>
    </w:p>
    <w:p>
      <w:pPr>
        <w:pStyle w:val="Heading2"/>
        <w:spacing w:after="100" w:before="240"/>
      </w:pPr>
      <w:r>
        <w:rPr>
          <w:rFonts w:ascii="Calibri" w:cs="Calibri" w:eastAsia="Calibri" w:hAnsi="Calibri"/>
          <w:b/>
          <w:bCs/>
          <w:color w:val="2F5C43"/>
          <w:sz w:val="22"/>
          <w:szCs w:val="22"/>
        </w:rPr>
        <w:t xml:space="preserve">Golden-case evaluation</w:t>
      </w:r>
    </w:p>
    <w:p>
      <w:pPr>
        <w:spacing w:after="120" w:line="300"/>
      </w:pPr>
      <w:r>
        <w:rPr>
          <w:rFonts w:ascii="Calibri" w:cs="Calibri" w:eastAsia="Calibri" w:hAnsi="Calibri"/>
          <w:color w:val="1B241E"/>
          <w:sz w:val="21"/>
          <w:szCs w:val="21"/>
        </w:rPr>
        <w:t xml:space="preserve">eval/run_eval.py scores eight scenarios on inclusion, exclusion, diagnosis, domain breadth and citation coverage. Cases include the brief's worked example plus adversarial ones: an acidic site where the user's proposed legume strategy would fail until pH is corrected; a groundwater overdraft where the user asks about drip irrigation and the correct answer is crop choice; and a site with healthy soil that is losing birds for landscape reasons. Current mean: 1.00.</w:t>
      </w:r>
    </w:p>
    <w:p>
      <w:pPr>
        <w:pStyle w:val="Heading2"/>
        <w:spacing w:after="100" w:before="240"/>
      </w:pPr>
      <w:r>
        <w:rPr>
          <w:rFonts w:ascii="Calibri" w:cs="Calibri" w:eastAsia="Calibri" w:hAnsi="Calibri"/>
          <w:b/>
          <w:bCs/>
          <w:color w:val="2F5C43"/>
          <w:sz w:val="22"/>
          <w:szCs w:val="22"/>
        </w:rPr>
        <w:t xml:space="preserve">CI/CD</w:t>
      </w:r>
    </w:p>
    <w:p>
      <w:pPr>
        <w:spacing w:after="80" w:line="300"/>
      </w:pPr>
      <w:r>
        <w:rPr>
          <w:rFonts w:ascii="Calibri" w:cs="Calibri" w:eastAsia="Calibri" w:hAnsi="Calibri"/>
          <w:color w:val="1B241E"/>
          <w:sz w:val="21"/>
          <w:szCs w:val="21"/>
        </w:rPr>
        <w:t xml:space="preserve">.github/workflows/ci.yml runs on every push and pull request:</w:t>
      </w:r>
    </w:p>
    <w:p>
      <w:pPr>
        <w:pStyle w:val="ListParagraph"/>
        <w:numPr>
          <w:ilvl w:val="0"/>
          <w:numId w:val="2"/>
        </w:numPr>
        <w:spacing w:after="70" w:line="290"/>
      </w:pPr>
      <w:r>
        <w:rPr>
          <w:rFonts w:ascii="Calibri" w:cs="Calibri" w:eastAsia="Calibri" w:hAnsi="Calibri"/>
          <w:color w:val="1B241E"/>
          <w:sz w:val="21"/>
          <w:szCs w:val="21"/>
        </w:rPr>
        <w:t xml:space="preserve">test — matrix over Python 3.11 and 3.12: ruff check, then pytest, then python eval/run_eval.py, which exits non-zero below a 0.80 mean. A change to the corpus or the scoring function that degrades reasoning quality fails the build, not just a syntax error.</w:t>
      </w:r>
    </w:p>
    <w:p>
      <w:pPr>
        <w:pStyle w:val="ListParagraph"/>
        <w:numPr>
          <w:ilvl w:val="0"/>
          <w:numId w:val="2"/>
        </w:numPr>
        <w:spacing w:after="70" w:line="290"/>
      </w:pPr>
      <w:r>
        <w:rPr>
          <w:rFonts w:ascii="Calibri" w:cs="Calibri" w:eastAsia="Calibri" w:hAnsi="Calibri"/>
          <w:color w:val="1B241E"/>
          <w:sz w:val="21"/>
          <w:szCs w:val="21"/>
        </w:rPr>
        <w:t xml:space="preserve">docker — builds the image, starts the container, polls /health, and issues a real /chat request against it.</w:t>
      </w:r>
    </w:p>
    <w:p>
      <w:pPr>
        <w:spacing w:after="120" w:line="300"/>
      </w:pPr>
      <w:r>
        <w:rPr>
          <w:rFonts w:ascii="Calibri" w:cs="Calibri" w:eastAsia="Calibri" w:hAnsi="Calibri"/>
          <w:color w:val="1B241E"/>
          <w:sz w:val="21"/>
          <w:szCs w:val="21"/>
        </w:rPr>
        <w:t xml:space="preserve">CI pins BIOINTEL_USE_ST=no so the build does not depend on a model download and stays deterministic.</w:t>
      </w:r>
    </w:p>
    <w:p>
      <w:pPr>
        <w:pStyle w:val="Heading1"/>
        <w:pBdr>
          <w:bottom w:val="single" w:color="C3CCC4" w:sz="6" w:space="6"/>
        </w:pBdr>
        <w:spacing w:after="140" w:before="360"/>
      </w:pPr>
      <w:r>
        <w:rPr>
          <w:rFonts w:ascii="Calibri" w:cs="Calibri" w:eastAsia="Calibri" w:hAnsi="Calibri"/>
          <w:b/>
          <w:bCs/>
          <w:color w:val="1B241E"/>
          <w:sz w:val="27"/>
          <w:szCs w:val="27"/>
        </w:rPr>
        <w:t xml:space="preserve">7. Worked example</w:t>
      </w:r>
    </w:p>
    <w:p>
      <w:pPr>
        <w:spacing w:after="80" w:line="300"/>
      </w:pPr>
      <w:r>
        <w:rPr>
          <w:rFonts w:ascii="Calibri" w:cs="Calibri" w:eastAsia="Calibri" w:hAnsi="Calibri"/>
          <w:color w:val="1B241E"/>
          <w:sz w:val="21"/>
          <w:szCs w:val="21"/>
        </w:rPr>
        <w:t xml:space="preserve">Input, matching the brief's example use case, with two additions the engine asked for in an earlier turn:</w:t>
      </w:r>
    </w:p>
    <w:p>
      <w:pPr>
        <w:shd w:fill="F2F4F1" w:val="clear"/>
        <w:spacing w:after="0" w:line="260"/>
        <w:ind w:left="172"/>
      </w:pPr>
      <w:r>
        <w:rPr>
          <w:rFonts w:ascii="Consolas" w:cs="Consolas" w:eastAsia="Consolas" w:hAnsi="Consolas"/>
          <w:color w:val="1B241E"/>
          <w:sz w:val="18"/>
          <w:szCs w:val="18"/>
        </w:rPr>
        <w:t xml:space="preserve">{ "land_use": "cropland", "climate_zone": "semi_arid",</w:t>
      </w:r>
    </w:p>
    <w:p>
      <w:pPr>
        <w:shd w:fill="F2F4F1" w:val="clear"/>
        <w:spacing w:after="0" w:line="260"/>
        <w:ind w:left="172"/>
      </w:pPr>
      <w:r>
        <w:rPr>
          <w:rFonts w:ascii="Consolas" w:cs="Consolas" w:eastAsia="Consolas" w:hAnsi="Consolas"/>
          <w:color w:val="1B241E"/>
          <w:sz w:val="18"/>
          <w:szCs w:val="18"/>
        </w:rPr>
        <w:t xml:space="preserve">  "soc_pct": 0.3, "rainfall_mm": 420, "crop": "wheat",</w:t>
      </w:r>
    </w:p>
    <w:p>
      <w:pPr>
        <w:shd w:fill="F2F4F1" w:val="clear"/>
        <w:spacing w:after="0" w:line="260"/>
        <w:ind w:left="172"/>
      </w:pPr>
      <w:r>
        <w:rPr>
          <w:rFonts w:ascii="Consolas" w:cs="Consolas" w:eastAsia="Consolas" w:hAnsi="Consolas"/>
          <w:color w:val="1B241E"/>
          <w:sz w:val="18"/>
          <w:szCs w:val="18"/>
        </w:rPr>
        <w:t xml:space="preserve">  "cropping_pattern": "monoculture", "semi_natural_pct": 8,</w:t>
      </w:r>
    </w:p>
    <w:p>
      <w:pPr>
        <w:shd w:fill="F2F4F1" w:val="clear"/>
        <w:spacing w:after="0" w:line="260"/>
        <w:ind w:left="172"/>
      </w:pPr>
      <w:r>
        <w:rPr>
          <w:rFonts w:ascii="Consolas" w:cs="Consolas" w:eastAsia="Consolas" w:hAnsi="Consolas"/>
          <w:color w:val="1B241E"/>
          <w:sz w:val="18"/>
          <w:szCs w:val="18"/>
        </w:rPr>
        <w:t xml:space="preserve">  "pressures": ["residue_burning"] }</w:t>
      </w:r>
    </w:p>
    <w:p>
      <w:pPr>
        <w:shd w:fill="F2F4F1" w:val="clear"/>
        <w:spacing w:after="140" w:line="260"/>
        <w:ind w:left="172"/>
      </w:pPr>
      <w:r>
        <w:rPr>
          <w:rFonts w:ascii="Consolas" w:cs="Consolas" w:eastAsia="Consolas" w:hAnsi="Consolas"/>
          <w:color w:val="1B241E"/>
          <w:sz w:val="18"/>
          <w:szCs w:val="18"/>
        </w:rPr>
        <w:t xml:space="preserve">message: "Biodiversity is declining on my land"</w:t>
      </w:r>
    </w:p>
    <w:p>
      <w:pPr>
        <w:spacing w:after="80" w:line="300"/>
      </w:pPr>
      <w:r>
        <w:rPr>
          <w:rFonts w:ascii="Calibri" w:cs="Calibri" w:eastAsia="Calibri" w:hAnsi="Calibri"/>
          <w:color w:val="1B241E"/>
          <w:sz w:val="21"/>
          <w:szCs w:val="21"/>
        </w:rPr>
        <w:t xml:space="preserve">The engine returns, in order:</w:t>
      </w:r>
    </w:p>
    <w:p>
      <w:pPr>
        <w:pStyle w:val="ListParagraph"/>
        <w:numPr>
          <w:ilvl w:val="0"/>
          <w:numId w:val="2"/>
        </w:numPr>
        <w:spacing w:after="70" w:line="290"/>
      </w:pPr>
      <w:r>
        <w:rPr>
          <w:rFonts w:ascii="Calibri" w:cs="Calibri" w:eastAsia="Calibri" w:hAnsi="Calibri"/>
          <w:color w:val="1B241E"/>
          <w:sz w:val="21"/>
          <w:szCs w:val="21"/>
        </w:rPr>
        <w:t xml:space="preserve">A stop condition, ahead of the plan: annual residue burning resets surface soil biology every season and removes the carbon input that every soil recommendation depends on.</w:t>
      </w:r>
    </w:p>
    <w:p>
      <w:pPr>
        <w:pStyle w:val="ListParagraph"/>
        <w:numPr>
          <w:ilvl w:val="0"/>
          <w:numId w:val="2"/>
        </w:numPr>
        <w:spacing w:after="70" w:line="290"/>
      </w:pPr>
      <w:r>
        <w:rPr>
          <w:rFonts w:ascii="Calibri" w:cs="Calibri" w:eastAsia="Calibri" w:hAnsi="Calibri"/>
          <w:color w:val="1B241E"/>
          <w:sz w:val="21"/>
          <w:szCs w:val="21"/>
        </w:rPr>
        <w:t xml:space="preserve">Four binding constraints with severities: species pool depletion (0.95), carbon depletion (0.90), surface water limitation (0.70), structural simplicity (0.70) — and an explicit note of what was not measured and therefore not assumed.</w:t>
      </w:r>
    </w:p>
    <w:p>
      <w:pPr>
        <w:pStyle w:val="ListParagraph"/>
        <w:numPr>
          <w:ilvl w:val="0"/>
          <w:numId w:val="2"/>
        </w:numPr>
        <w:spacing w:after="70" w:line="290"/>
      </w:pPr>
      <w:r>
        <w:rPr>
          <w:rFonts w:ascii="Calibri" w:cs="Calibri" w:eastAsia="Calibri" w:hAnsi="Calibri"/>
          <w:color w:val="1B241E"/>
          <w:sz w:val="21"/>
          <w:szCs w:val="21"/>
        </w:rPr>
        <w:t xml:space="preserve">A three-stage plan. Stage one is enabling and immediate; stage three is named as a decadal investment rather than presented as a quick win.</w:t>
      </w:r>
    </w:p>
    <w:p>
      <w:pPr>
        <w:pStyle w:val="ListParagraph"/>
        <w:numPr>
          <w:ilvl w:val="0"/>
          <w:numId w:val="2"/>
        </w:numPr>
        <w:spacing w:after="70" w:line="290"/>
      </w:pPr>
      <w:r>
        <w:rPr>
          <w:rFonts w:ascii="Calibri" w:cs="Calibri" w:eastAsia="Calibri" w:hAnsi="Calibri"/>
          <w:color w:val="1B241E"/>
          <w:sz w:val="21"/>
          <w:szCs w:val="21"/>
        </w:rPr>
        <w:t xml:space="preserve">For each action: the mechanism, the direct metric effects with magnitudes and horizons, and the knock-on effects traced through the graph — for example residue retention raising water quality via erosion, and raising soil multifunctionality via organic carbon and microbial diversity, each with the coupling's citation.</w:t>
      </w:r>
    </w:p>
    <w:p>
      <w:pPr>
        <w:pStyle w:val="ListParagraph"/>
        <w:numPr>
          <w:ilvl w:val="0"/>
          <w:numId w:val="2"/>
        </w:numPr>
        <w:spacing w:after="70" w:line="290"/>
      </w:pPr>
      <w:r>
        <w:rPr>
          <w:rFonts w:ascii="Calibri" w:cs="Calibri" w:eastAsia="Calibri" w:hAnsi="Calibri"/>
          <w:color w:val="1B241E"/>
          <w:sz w:val="21"/>
          <w:szCs w:val="21"/>
        </w:rPr>
        <w:t xml:space="preserve">Trade-offs stated rather than omitted: in mixed crop-livestock systems residue has a real cash value, so “retain residue” fails without a fodder substitute — which is itself in the corpus as a separate card.</w:t>
      </w:r>
    </w:p>
    <w:p>
      <w:pPr>
        <w:pStyle w:val="ListParagraph"/>
        <w:numPr>
          <w:ilvl w:val="0"/>
          <w:numId w:val="2"/>
        </w:numPr>
        <w:spacing w:after="70" w:line="290"/>
      </w:pPr>
      <w:r>
        <w:rPr>
          <w:rFonts w:ascii="Calibri" w:cs="Calibri" w:eastAsia="Calibri" w:hAnsi="Calibri"/>
          <w:color w:val="1B241E"/>
          <w:sz w:val="21"/>
          <w:szCs w:val="21"/>
        </w:rPr>
        <w:t xml:space="preserve">Confidence per recommendation with its basis, including whether it is capped by incomplete site data.</w:t>
      </w:r>
    </w:p>
    <w:p>
      <w:pPr>
        <w:pStyle w:val="ListParagraph"/>
        <w:numPr>
          <w:ilvl w:val="0"/>
          <w:numId w:val="2"/>
        </w:numPr>
        <w:spacing w:after="70" w:line="290"/>
      </w:pPr>
      <w:r>
        <w:rPr>
          <w:rFonts w:ascii="Calibri" w:cs="Calibri" w:eastAsia="Calibri" w:hAnsi="Calibri"/>
          <w:color w:val="1B241E"/>
          <w:sz w:val="21"/>
          <w:szCs w:val="21"/>
        </w:rPr>
        <w:t xml:space="preserve">One clarifying question — soil pH — with the measured expectation of how much the plan would change if answered.</w:t>
      </w:r>
    </w:p>
    <w:p>
      <w:pPr>
        <w:pStyle w:val="Heading1"/>
        <w:pBdr>
          <w:bottom w:val="single" w:color="C3CCC4" w:sz="6" w:space="6"/>
        </w:pBdr>
        <w:spacing w:after="140" w:before="360"/>
      </w:pPr>
      <w:r>
        <w:rPr>
          <w:rFonts w:ascii="Calibri" w:cs="Calibri" w:eastAsia="Calibri" w:hAnsi="Calibri"/>
          <w:b/>
          <w:bCs/>
          <w:color w:val="1B241E"/>
          <w:sz w:val="27"/>
          <w:szCs w:val="27"/>
        </w:rPr>
        <w:t xml:space="preserve">8. Known limitations</w:t>
      </w:r>
    </w:p>
    <w:p>
      <w:pPr>
        <w:pStyle w:val="ListParagraph"/>
        <w:numPr>
          <w:ilvl w:val="0"/>
          <w:numId w:val="2"/>
        </w:numPr>
        <w:spacing w:after="70" w:line="290"/>
      </w:pPr>
      <w:r>
        <w:rPr>
          <w:rFonts w:ascii="Calibri" w:cs="Calibri" w:eastAsia="Calibri" w:hAnsi="Calibri"/>
          <w:color w:val="1B241E"/>
          <w:sz w:val="21"/>
          <w:szCs w:val="21"/>
        </w:rPr>
        <w:t xml:space="preserve">Effect sizes are indicative ranges from published syntheses, not local predictions. They belong in a plan as expectations to be measured against, which is why every recommendation carries a monitoring line.</w:t>
      </w:r>
    </w:p>
    <w:p>
      <w:pPr>
        <w:pStyle w:val="ListParagraph"/>
        <w:numPr>
          <w:ilvl w:val="0"/>
          <w:numId w:val="2"/>
        </w:numPr>
        <w:spacing w:after="70" w:line="290"/>
      </w:pPr>
      <w:r>
        <w:rPr>
          <w:rFonts w:ascii="Calibri" w:cs="Calibri" w:eastAsia="Calibri" w:hAnsi="Calibri"/>
          <w:color w:val="1B241E"/>
          <w:sz w:val="21"/>
          <w:szCs w:val="21"/>
        </w:rPr>
        <w:t xml:space="preserve">The corpus is weighted toward South Asian and dryland smallholder systems. Temperate intensive and humid tropical forest systems are represented but thinner. Extending coverage is a YAML pull request, not a code change.</w:t>
      </w:r>
    </w:p>
    <w:p>
      <w:pPr>
        <w:pStyle w:val="ListParagraph"/>
        <w:numPr>
          <w:ilvl w:val="0"/>
          <w:numId w:val="2"/>
        </w:numPr>
        <w:spacing w:after="70" w:line="290"/>
      </w:pPr>
      <w:r>
        <w:rPr>
          <w:rFonts w:ascii="Calibri" w:cs="Calibri" w:eastAsia="Calibri" w:hAnsi="Calibri"/>
          <w:color w:val="1B241E"/>
          <w:sz w:val="21"/>
          <w:szCs w:val="21"/>
        </w:rPr>
        <w:t xml:space="preserve">Geo-coordinates are parsed and stored but not yet joined to gridded rasters. That join — SoilGrids, CHIRPS, ESA WorldCover — is the natural next step and would let the system populate most of the profile from a point instead of asking for it.</w:t>
      </w:r>
    </w:p>
    <w:p>
      <w:pPr>
        <w:pStyle w:val="ListParagraph"/>
        <w:numPr>
          <w:ilvl w:val="0"/>
          <w:numId w:val="2"/>
        </w:numPr>
        <w:spacing w:after="70" w:line="290"/>
      </w:pPr>
      <w:r>
        <w:rPr>
          <w:rFonts w:ascii="Calibri" w:cs="Calibri" w:eastAsia="Calibri" w:hAnsi="Calibri"/>
          <w:color w:val="1B241E"/>
          <w:sz w:val="21"/>
          <w:szCs w:val="21"/>
        </w:rPr>
        <w:t xml:space="preserve">The browser demo's fallback encoder uses a different hash function from the Python one, so candidate ordering can differ slightly between the two. Gating, diagnosis, causal propagation and scoring logic are identical.</w:t>
      </w:r>
    </w:p>
    <w:sectPr>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ftm0mhu7azrfcbvtbtj8" Type="http://schemas.openxmlformats.org/officeDocument/2006/relationships/hyperlink" Target="https://github.com/Sushant332/darukaa-biointel" TargetMode="External"/><Relationship Id="rIdjhf3ftv1o_xxxgz5yosnp" Type="http://schemas.openxmlformats.org/officeDocument/2006/relationships/hyperlink" Target="https://claude.ai/artifact/YDmvWZEHysDFQfSbjGjQs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Darukaa BioIntel — Hackathon Submission</dc:title>
  <dc:creator>Darukaa BioIntel</dc:creator>
  <cp:lastModifiedBy>Un-named</cp:lastModifiedBy>
  <cp:revision>1</cp:revision>
  <dcterms:created xsi:type="dcterms:W3CDTF">2026-09-18T09:23:56.138Z</dcterms:created>
  <dcterms:modified xsi:type="dcterms:W3CDTF">2026-09-18T09:23:56.146Z</dcterms:modified>
</cp:coreProperties>
</file>

<file path=docProps/custom.xml><?xml version="1.0" encoding="utf-8"?>
<Properties xmlns="http://schemas.openxmlformats.org/officeDocument/2006/custom-properties" xmlns:vt="http://schemas.openxmlformats.org/officeDocument/2006/docPropsVTypes"/>
</file>