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Calibri" w:hAnsi="Calibri"/>
          <w:b/>
          <w:color w:val="14181D"/>
          <w:sz w:val="38"/>
        </w:rPr>
        <w:t>MCM Unified Console</w:t>
      </w:r>
    </w:p>
    <w:p>
      <w:pPr>
        <w:spacing w:before="0" w:after="60" w:line="240" w:lineRule="auto"/>
      </w:pPr>
      <w:r>
        <w:rPr>
          <w:rFonts w:ascii="Calibri" w:hAnsi="Calibri"/>
          <w:b/>
          <w:caps/>
          <w:color w:val="0E6E78"/>
          <w:sz w:val="21"/>
        </w:rPr>
        <w:t>Feature Overview</w:t>
      </w:r>
      <w:r>
        <w:rPr>
          <w:rFonts w:ascii="Calibri" w:hAnsi="Calibri"/>
          <w:b w:val="0"/>
          <w:color w:val="4A545F"/>
          <w:sz w:val="17"/>
        </w:rPr>
        <w:t xml:space="preserve">     Unified communications and contact centre, in one browser console.</w:t>
      </w:r>
    </w:p>
    <w:p>
      <w:pPr>
        <w:spacing w:before="0" w:after="140" w:line="240" w:lineRule="auto"/>
        <w:pBdr>
          <w:bottom w:val="single" w:sz="8" w:color="14181D"/>
        </w:pBd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40" w:type="dxa"/>
          <w:bottom w:w="40" w:type="dxa"/>
          <w:left w:w="90" w:type="dxa"/>
          <w:right w:w="90" w:type="dxa"/>
        </w:tblCellMar>
      </w:tblPr>
      <w:tblGrid>
        <w:gridCol w:w="2189"/>
        <w:gridCol w:w="8251"/>
      </w:tblGrid>
      <w:tr>
        <w:tc>
          <w:tcPr>
            <w:tcW w:type="dxa" w:w="2189"/>
            <w:shd w:val="clear" w:fill="F2F5F7"/>
          </w:tcPr>
          <w:p>
            <w:pPr>
              <w:spacing w:before="50" w:after="50" w:line="240" w:lineRule="auto"/>
            </w:pPr>
            <w:r>
              <w:rPr>
                <w:rFonts w:ascii="Calibri" w:hAnsi="Calibri"/>
                <w:b/>
                <w:color w:val="14181D"/>
                <w:sz w:val="17"/>
              </w:rPr>
              <w:t>Voice &amp; Telephony</w:t>
            </w:r>
          </w:p>
        </w:tc>
        <w:tc>
          <w:tcPr>
            <w:tcW w:type="dxa" w:w="8251"/>
            <w:shd w:val="clear" w:fill="F2F5F7"/>
          </w:tcPr>
          <w:p>
            <w:pPr>
              <w:spacing w:before="50" w:after="50" w:line="240" w:lineRule="auto"/>
            </w:pPr>
            <w:r>
              <w:rPr>
                <w:rFonts w:ascii="Calibri" w:hAnsi="Calibri"/>
                <w:b w:val="0"/>
                <w:color w:val="4A545F"/>
                <w:sz w:val="16"/>
              </w:rPr>
              <w:t>Browser softphone with dial pad, click-to-call and call controls (hold, mute, transfer, attended transfer, conference). Call history and recordings. Voicemail with greetings. Call forwarding, do-not-disturb, presence and extension-to-extension dialling.</w:t>
            </w:r>
          </w:p>
        </w:tc>
      </w:tr>
      <w:tr>
        <w:tc>
          <w:tcPr>
            <w:tcW w:type="dxa" w:w="2189"/>
          </w:tcPr>
          <w:p>
            <w:pPr>
              <w:spacing w:before="50" w:after="50" w:line="240" w:lineRule="auto"/>
            </w:pPr>
            <w:r>
              <w:rPr>
                <w:rFonts w:ascii="Calibri" w:hAnsi="Calibri"/>
                <w:b/>
                <w:color w:val="14181D"/>
                <w:sz w:val="17"/>
              </w:rPr>
              <w:t>Call Handling &amp; Routing</w:t>
            </w:r>
          </w:p>
        </w:tc>
        <w:tc>
          <w:tcPr>
            <w:tcW w:type="dxa" w:w="8251"/>
          </w:tcPr>
          <w:p>
            <w:pPr>
              <w:spacing w:before="50" w:after="50" w:line="240" w:lineRule="auto"/>
            </w:pPr>
            <w:r>
              <w:rPr>
                <w:rFonts w:ascii="Calibri" w:hAnsi="Calibri"/>
                <w:b w:val="0"/>
                <w:color w:val="4A545F"/>
                <w:sz w:val="16"/>
              </w:rPr>
              <w:t>Departments, IVR menus and call queues. Call coverage rules deciding who rings, how, and for how long. Business hours, holiday schedules and after-hours destinations. Custom greetings and hold media.</w:t>
            </w:r>
          </w:p>
        </w:tc>
      </w:tr>
      <w:tr>
        <w:tc>
          <w:tcPr>
            <w:tcW w:type="dxa" w:w="2189"/>
            <w:shd w:val="clear" w:fill="F2F5F7"/>
          </w:tcPr>
          <w:p>
            <w:pPr>
              <w:spacing w:before="50" w:after="50" w:line="240" w:lineRule="auto"/>
            </w:pPr>
            <w:r>
              <w:rPr>
                <w:rFonts w:ascii="Calibri" w:hAnsi="Calibri"/>
                <w:b/>
                <w:color w:val="14181D"/>
                <w:sz w:val="17"/>
              </w:rPr>
              <w:t>Contact Centre</w:t>
            </w:r>
          </w:p>
        </w:tc>
        <w:tc>
          <w:tcPr>
            <w:tcW w:type="dxa" w:w="8251"/>
            <w:shd w:val="clear" w:fill="F2F5F7"/>
          </w:tcPr>
          <w:p>
            <w:pPr>
              <w:spacing w:before="50" w:after="50" w:line="240" w:lineRule="auto"/>
            </w:pPr>
            <w:r>
              <w:rPr>
                <w:rFonts w:ascii="Calibri" w:hAnsi="Calibri"/>
                <w:b w:val="0"/>
                <w:color w:val="4A545F"/>
                <w:sz w:val="16"/>
              </w:rPr>
              <w:t>Queue management with agent assignment and duty state. Callback requests. Agent scripts, dispositions and disposition logging. Wallboards for floor display.</w:t>
            </w:r>
          </w:p>
        </w:tc>
      </w:tr>
      <w:tr>
        <w:tc>
          <w:tcPr>
            <w:tcW w:type="dxa" w:w="2189"/>
          </w:tcPr>
          <w:p>
            <w:pPr>
              <w:spacing w:before="50" w:after="50" w:line="240" w:lineRule="auto"/>
            </w:pPr>
            <w:r>
              <w:rPr>
                <w:rFonts w:ascii="Calibri" w:hAnsi="Calibri"/>
                <w:b/>
                <w:color w:val="14181D"/>
                <w:sz w:val="17"/>
              </w:rPr>
              <w:t>Outbound Campaigns</w:t>
            </w:r>
          </w:p>
        </w:tc>
        <w:tc>
          <w:tcPr>
            <w:tcW w:type="dxa" w:w="8251"/>
          </w:tcPr>
          <w:p>
            <w:pPr>
              <w:spacing w:before="50" w:after="50" w:line="240" w:lineRule="auto"/>
            </w:pPr>
            <w:r>
              <w:rPr>
                <w:rFonts w:ascii="Calibri" w:hAnsi="Calibri"/>
                <w:b w:val="0"/>
                <w:color w:val="4A545F"/>
                <w:sz w:val="16"/>
              </w:rPr>
              <w:t>Power and predictive dialling. Campaign builder with contact lists, call scripts and dispositions. Do-not-call list enforcement. Campaign and disposition logs.</w:t>
            </w:r>
          </w:p>
        </w:tc>
      </w:tr>
      <w:tr>
        <w:tc>
          <w:tcPr>
            <w:tcW w:type="dxa" w:w="2189"/>
            <w:shd w:val="clear" w:fill="F2F5F7"/>
          </w:tcPr>
          <w:p>
            <w:pPr>
              <w:spacing w:before="50" w:after="50" w:line="240" w:lineRule="auto"/>
            </w:pPr>
            <w:r>
              <w:rPr>
                <w:rFonts w:ascii="Calibri" w:hAnsi="Calibri"/>
                <w:b/>
                <w:color w:val="14181D"/>
                <w:sz w:val="17"/>
              </w:rPr>
              <w:t>Messaging &amp; Omnichannel</w:t>
            </w:r>
          </w:p>
        </w:tc>
        <w:tc>
          <w:tcPr>
            <w:tcW w:type="dxa" w:w="8251"/>
            <w:shd w:val="clear" w:fill="F2F5F7"/>
          </w:tcPr>
          <w:p>
            <w:pPr>
              <w:spacing w:before="50" w:after="50" w:line="240" w:lineRule="auto"/>
            </w:pPr>
            <w:r>
              <w:rPr>
                <w:rFonts w:ascii="Calibri" w:hAnsi="Calibri"/>
                <w:b w:val="0"/>
                <w:color w:val="4A545F"/>
                <w:sz w:val="16"/>
              </w:rPr>
              <w:t>Internal team chat and direct messages. Shared inboxes. SMS and MMS. Social channels — Facebook, Instagram and Telegram — landing in the same agent inbox. Message templates.</w:t>
            </w:r>
          </w:p>
        </w:tc>
      </w:tr>
      <w:tr>
        <w:tc>
          <w:tcPr>
            <w:tcW w:type="dxa" w:w="2189"/>
          </w:tcPr>
          <w:p>
            <w:pPr>
              <w:spacing w:before="50" w:after="50" w:line="240" w:lineRule="auto"/>
            </w:pPr>
            <w:r>
              <w:rPr>
                <w:rFonts w:ascii="Calibri" w:hAnsi="Calibri"/>
                <w:b/>
                <w:color w:val="14181D"/>
                <w:sz w:val="17"/>
              </w:rPr>
              <w:t>Video &amp; Meetings</w:t>
            </w:r>
          </w:p>
        </w:tc>
        <w:tc>
          <w:tcPr>
            <w:tcW w:type="dxa" w:w="8251"/>
          </w:tcPr>
          <w:p>
            <w:pPr>
              <w:spacing w:before="50" w:after="50" w:line="240" w:lineRule="auto"/>
            </w:pPr>
            <w:r>
              <w:rPr>
                <w:rFonts w:ascii="Calibri" w:hAnsi="Calibri"/>
                <w:b w:val="0"/>
                <w:color w:val="4A545F"/>
                <w:sz w:val="16"/>
              </w:rPr>
              <w:t>Video calling and scheduled meetings with a calendar. Meeting invitations, participant management, in-meeting info and feedback. Ongoing, past and invited meeting views. Meeting recordings.</w:t>
            </w:r>
          </w:p>
        </w:tc>
      </w:tr>
      <w:tr>
        <w:tc>
          <w:tcPr>
            <w:tcW w:type="dxa" w:w="2189"/>
            <w:shd w:val="clear" w:fill="F2F5F7"/>
          </w:tcPr>
          <w:p>
            <w:pPr>
              <w:spacing w:before="50" w:after="50" w:line="240" w:lineRule="auto"/>
            </w:pPr>
            <w:r>
              <w:rPr>
                <w:rFonts w:ascii="Calibri" w:hAnsi="Calibri"/>
                <w:b/>
                <w:color w:val="14181D"/>
                <w:sz w:val="17"/>
              </w:rPr>
              <w:t>Directory &amp; Contacts</w:t>
            </w:r>
          </w:p>
        </w:tc>
        <w:tc>
          <w:tcPr>
            <w:tcW w:type="dxa" w:w="8251"/>
            <w:shd w:val="clear" w:fill="F2F5F7"/>
          </w:tcPr>
          <w:p>
            <w:pPr>
              <w:spacing w:before="50" w:after="50" w:line="240" w:lineRule="auto"/>
            </w:pPr>
            <w:r>
              <w:rPr>
                <w:rFonts w:ascii="Calibri" w:hAnsi="Calibri"/>
                <w:b w:val="0"/>
                <w:color w:val="4A545F"/>
                <w:sz w:val="16"/>
              </w:rPr>
              <w:t>Company people roster with profiles and extensions. Groups. External contact records with notes and activity. Locations. Favourites and blocked numbers. Global search across the directory.</w:t>
            </w:r>
          </w:p>
        </w:tc>
      </w:tr>
      <w:tr>
        <w:tc>
          <w:tcPr>
            <w:tcW w:type="dxa" w:w="2189"/>
          </w:tcPr>
          <w:p>
            <w:pPr>
              <w:spacing w:before="50" w:after="50" w:line="240" w:lineRule="auto"/>
            </w:pPr>
            <w:r>
              <w:rPr>
                <w:rFonts w:ascii="Calibri" w:hAnsi="Calibri"/>
                <w:b/>
                <w:color w:val="14181D"/>
                <w:sz w:val="17"/>
              </w:rPr>
              <w:t>Live Monitoring</w:t>
            </w:r>
          </w:p>
        </w:tc>
        <w:tc>
          <w:tcPr>
            <w:tcW w:type="dxa" w:w="8251"/>
          </w:tcPr>
          <w:p>
            <w:pPr>
              <w:spacing w:before="50" w:after="50" w:line="240" w:lineRule="auto"/>
            </w:pPr>
            <w:r>
              <w:rPr>
                <w:rFonts w:ascii="Calibri" w:hAnsi="Calibri"/>
                <w:b w:val="0"/>
                <w:color w:val="4A545F"/>
                <w:sz w:val="16"/>
              </w:rPr>
              <w:t>Real-time view of all active calls with call path detail. Live agent and user status. Per-department and per-queue live boards. Supervisor visibility into current activity.</w:t>
            </w:r>
          </w:p>
        </w:tc>
      </w:tr>
      <w:tr>
        <w:tc>
          <w:tcPr>
            <w:tcW w:type="dxa" w:w="2189"/>
            <w:shd w:val="clear" w:fill="F2F5F7"/>
          </w:tcPr>
          <w:p>
            <w:pPr>
              <w:spacing w:before="50" w:after="50" w:line="240" w:lineRule="auto"/>
            </w:pPr>
            <w:r>
              <w:rPr>
                <w:rFonts w:ascii="Calibri" w:hAnsi="Calibri"/>
                <w:b/>
                <w:color w:val="14181D"/>
                <w:sz w:val="17"/>
              </w:rPr>
              <w:t>Performance &amp; Reporting</w:t>
            </w:r>
          </w:p>
        </w:tc>
        <w:tc>
          <w:tcPr>
            <w:tcW w:type="dxa" w:w="8251"/>
            <w:shd w:val="clear" w:fill="F2F5F7"/>
          </w:tcPr>
          <w:p>
            <w:pPr>
              <w:spacing w:before="50" w:after="50" w:line="240" w:lineRule="auto"/>
            </w:pPr>
            <w:r>
              <w:rPr>
                <w:rFonts w:ascii="Calibri" w:hAnsi="Calibri"/>
                <w:b w:val="0"/>
                <w:color w:val="4A545F"/>
                <w:sz w:val="16"/>
              </w:rPr>
              <w:t>Dashboards for calls, queues, agents and flows. Call logs and SMS logs. Analytics with date-range filtering. Speech and text insight. Report export to CSV and PDF.</w:t>
            </w:r>
          </w:p>
        </w:tc>
      </w:tr>
      <w:tr>
        <w:tc>
          <w:tcPr>
            <w:tcW w:type="dxa" w:w="2189"/>
          </w:tcPr>
          <w:p>
            <w:pPr>
              <w:spacing w:before="50" w:after="50" w:line="240" w:lineRule="auto"/>
            </w:pPr>
            <w:r>
              <w:rPr>
                <w:rFonts w:ascii="Calibri" w:hAnsi="Calibri"/>
                <w:b/>
                <w:color w:val="14181D"/>
                <w:sz w:val="17"/>
              </w:rPr>
              <w:t>Numbers &amp; Compliance</w:t>
            </w:r>
          </w:p>
        </w:tc>
        <w:tc>
          <w:tcPr>
            <w:tcW w:type="dxa" w:w="8251"/>
          </w:tcPr>
          <w:p>
            <w:pPr>
              <w:spacing w:before="50" w:after="50" w:line="240" w:lineRule="auto"/>
            </w:pPr>
            <w:r>
              <w:rPr>
                <w:rFonts w:ascii="Calibri" w:hAnsi="Calibri"/>
                <w:b w:val="0"/>
                <w:color w:val="4A545F"/>
                <w:sz w:val="16"/>
              </w:rPr>
              <w:t>Number inventory — all numbers, numbers in use, unused and released. Number purchase by country with published rates. Assignment to people, departments and queues. 10DLC brand and campaign registration. Reseller controls.</w:t>
            </w:r>
          </w:p>
        </w:tc>
      </w:tr>
      <w:tr>
        <w:tc>
          <w:tcPr>
            <w:tcW w:type="dxa" w:w="2189"/>
            <w:shd w:val="clear" w:fill="F2F5F7"/>
          </w:tcPr>
          <w:p>
            <w:pPr>
              <w:spacing w:before="50" w:after="50" w:line="240" w:lineRule="auto"/>
            </w:pPr>
            <w:r>
              <w:rPr>
                <w:rFonts w:ascii="Calibri" w:hAnsi="Calibri"/>
                <w:b/>
                <w:color w:val="14181D"/>
                <w:sz w:val="17"/>
              </w:rPr>
              <w:t>Administration</w:t>
            </w:r>
          </w:p>
        </w:tc>
        <w:tc>
          <w:tcPr>
            <w:tcW w:type="dxa" w:w="8251"/>
            <w:shd w:val="clear" w:fill="F2F5F7"/>
          </w:tcPr>
          <w:p>
            <w:pPr>
              <w:spacing w:before="50" w:after="50" w:line="240" w:lineRule="auto"/>
            </w:pPr>
            <w:r>
              <w:rPr>
                <w:rFonts w:ascii="Calibri" w:hAnsi="Calibri"/>
                <w:b w:val="0"/>
                <w:color w:val="4A545F"/>
                <w:sz w:val="16"/>
              </w:rPr>
              <w:t>Company profile and locations. People, roles and permission sets with a plain-English explanation of what each role can do. Guided setup wizard for new organisations. Security and privacy settings, active sessions, notification preferences. Webhooks. Media file and document library.</w:t>
            </w:r>
          </w:p>
        </w:tc>
      </w:tr>
      <w:tr>
        <w:tc>
          <w:tcPr>
            <w:tcW w:type="dxa" w:w="2189"/>
          </w:tcPr>
          <w:p>
            <w:pPr>
              <w:spacing w:before="50" w:after="50" w:line="240" w:lineRule="auto"/>
            </w:pPr>
            <w:r>
              <w:rPr>
                <w:rFonts w:ascii="Calibri" w:hAnsi="Calibri"/>
                <w:b/>
                <w:color w:val="14181D"/>
                <w:sz w:val="17"/>
              </w:rPr>
              <w:t>Agentic AI —</w:t>
              <w:br/>
            </w:r>
            <w:r>
              <w:rPr>
                <w:rFonts w:ascii="Calibri" w:hAnsi="Calibri"/>
                <w:b/>
                <w:color w:val="14181D"/>
                <w:sz w:val="17"/>
              </w:rPr>
              <w:t>Assistants</w:t>
            </w:r>
          </w:p>
        </w:tc>
        <w:tc>
          <w:tcPr>
            <w:tcW w:type="dxa" w:w="8251"/>
          </w:tcPr>
          <w:p>
            <w:pPr>
              <w:spacing w:before="50" w:after="50" w:line="240" w:lineRule="auto"/>
            </w:pPr>
            <w:r>
              <w:rPr>
                <w:rFonts w:ascii="Calibri" w:hAnsi="Calibri"/>
                <w:b w:val="0"/>
                <w:color w:val="4A545F"/>
                <w:sz w:val="16"/>
              </w:rPr>
              <w:t>Purpose-built AI assistants, each attached to its own inbox with its own access token. Grounded on a knowledge base built from uploaded documents, crawled web pages and FAQs. Full conversation history. Human handoff at any point — an agent pauses the AI, takes the conversation over, and resumes it. Playground for testing an assistant before it goes live.</w:t>
            </w:r>
          </w:p>
        </w:tc>
      </w:tr>
      <w:tr>
        <w:tc>
          <w:tcPr>
            <w:tcW w:type="dxa" w:w="2189"/>
            <w:shd w:val="clear" w:fill="F2F5F7"/>
          </w:tcPr>
          <w:p>
            <w:pPr>
              <w:spacing w:before="50" w:after="50" w:line="240" w:lineRule="auto"/>
            </w:pPr>
            <w:r>
              <w:rPr>
                <w:rFonts w:ascii="Calibri" w:hAnsi="Calibri"/>
                <w:b/>
                <w:color w:val="14181D"/>
                <w:sz w:val="17"/>
              </w:rPr>
              <w:t>Agentic AI —</w:t>
              <w:br/>
            </w:r>
            <w:r>
              <w:rPr>
                <w:rFonts w:ascii="Calibri" w:hAnsi="Calibri"/>
                <w:b/>
                <w:color w:val="14181D"/>
                <w:sz w:val="17"/>
              </w:rPr>
              <w:t>Actions</w:t>
            </w:r>
          </w:p>
        </w:tc>
        <w:tc>
          <w:tcPr>
            <w:tcW w:type="dxa" w:w="8251"/>
            <w:shd w:val="clear" w:fill="F2F5F7"/>
          </w:tcPr>
          <w:p>
            <w:pPr>
              <w:spacing w:before="50" w:after="50" w:line="240" w:lineRule="auto"/>
            </w:pPr>
            <w:r>
              <w:rPr>
                <w:rFonts w:ascii="Calibri" w:hAnsi="Calibri"/>
                <w:b w:val="0"/>
                <w:color w:val="4A545F"/>
                <w:sz w:val="16"/>
              </w:rPr>
              <w:t>Assistants act on your systems, not just answer from text. Actions are configurable HTTP calls with a typed parameter schema, request and response templates, and authentication (bearer, basic, header or API key). Each action is marked read or write and assigned a security tier, and its response can be limited to named fields so an assistant only ever sees what it needs. Pre-built connectors cover common third-party applications.</w:t>
            </w:r>
          </w:p>
        </w:tc>
      </w:tr>
      <w:tr>
        <w:tc>
          <w:tcPr>
            <w:tcW w:type="dxa" w:w="2189"/>
          </w:tcPr>
          <w:p>
            <w:pPr>
              <w:spacing w:before="50" w:after="50" w:line="240" w:lineRule="auto"/>
            </w:pPr>
            <w:r>
              <w:rPr>
                <w:rFonts w:ascii="Calibri" w:hAnsi="Calibri"/>
                <w:b/>
                <w:color w:val="14181D"/>
                <w:sz w:val="17"/>
              </w:rPr>
              <w:t>AI Voice &amp; Chat Agents</w:t>
            </w:r>
          </w:p>
        </w:tc>
        <w:tc>
          <w:tcPr>
            <w:tcW w:type="dxa" w:w="8251"/>
          </w:tcPr>
          <w:p>
            <w:pPr>
              <w:spacing w:before="50" w:after="50" w:line="240" w:lineRule="auto"/>
            </w:pPr>
            <w:r>
              <w:rPr>
                <w:rFonts w:ascii="Calibri" w:hAnsi="Calibri"/>
                <w:b w:val="0"/>
                <w:color w:val="4A545F"/>
                <w:sz w:val="16"/>
              </w:rPr>
              <w:t>AI receptionist answering a real phone number, with its own caller ID, editable prompt and rules for forwarding on to a person. AI chatbot agents built from templates and configured per channel. Session history and per-agent analytics for both.</w:t>
            </w:r>
          </w:p>
        </w:tc>
      </w:tr>
      <w:tr>
        <w:tc>
          <w:tcPr>
            <w:tcW w:type="dxa" w:w="2189"/>
            <w:shd w:val="clear" w:fill="F2F5F7"/>
          </w:tcPr>
          <w:p>
            <w:pPr>
              <w:spacing w:before="50" w:after="50" w:line="240" w:lineRule="auto"/>
            </w:pPr>
            <w:r>
              <w:rPr>
                <w:rFonts w:ascii="Calibri" w:hAnsi="Calibri"/>
                <w:b/>
                <w:color w:val="14181D"/>
                <w:sz w:val="17"/>
              </w:rPr>
              <w:t>Integrations</w:t>
            </w:r>
          </w:p>
        </w:tc>
        <w:tc>
          <w:tcPr>
            <w:tcW w:type="dxa" w:w="8251"/>
            <w:shd w:val="clear" w:fill="F2F5F7"/>
          </w:tcPr>
          <w:p>
            <w:pPr>
              <w:spacing w:before="50" w:after="50" w:line="240" w:lineRule="auto"/>
            </w:pPr>
            <w:r>
              <w:rPr>
                <w:rFonts w:ascii="Calibri" w:hAnsi="Calibri"/>
                <w:b w:val="0"/>
                <w:color w:val="4A545F"/>
                <w:sz w:val="16"/>
              </w:rPr>
              <w:t>CRM connectors — Salesforce, HubSpot, Zoho, Pipedrive, Zendesk and Monday. Google and Microsoft Teams. Zapier for everything else. Data and reporting export.</w:t>
            </w:r>
          </w:p>
        </w:tc>
      </w:tr>
      <w:tr>
        <w:tc>
          <w:tcPr>
            <w:tcW w:type="dxa" w:w="2189"/>
          </w:tcPr>
          <w:p>
            <w:pPr>
              <w:spacing w:before="50" w:after="50" w:line="240" w:lineRule="auto"/>
            </w:pPr>
            <w:r>
              <w:rPr>
                <w:rFonts w:ascii="Calibri" w:hAnsi="Calibri"/>
                <w:b/>
                <w:color w:val="14181D"/>
                <w:sz w:val="17"/>
              </w:rPr>
              <w:t>Billing &amp; Plans</w:t>
            </w:r>
          </w:p>
        </w:tc>
        <w:tc>
          <w:tcPr>
            <w:tcW w:type="dxa" w:w="8251"/>
          </w:tcPr>
          <w:p>
            <w:pPr>
              <w:spacing w:before="50" w:after="50" w:line="240" w:lineRule="auto"/>
            </w:pPr>
            <w:r>
              <w:rPr>
                <w:rFonts w:ascii="Calibri" w:hAnsi="Calibri"/>
                <w:b w:val="0"/>
                <w:color w:val="4A545F"/>
                <w:sz w:val="16"/>
              </w:rPr>
              <w:t>Subscription plans with per-feature entitlement gating. Live plan pricing and included allowances. Overage rates shown before they are incurred. Card payment, invoices and usage-based charging.</w:t>
            </w:r>
          </w:p>
        </w:tc>
      </w:tr>
    </w:tbl>
    <w:p>
      <w:pPr>
        <w:spacing w:before="160" w:after="0" w:line="240" w:lineRule="auto"/>
        <w:pBdr>
          <w:top w:val="single" w:sz="4" w:color="D5DCE3"/>
        </w:pBdr>
      </w:pPr>
    </w:p>
    <w:p>
      <w:pPr>
        <w:spacing w:before="60" w:after="0" w:line="240" w:lineRule="auto"/>
        <w:jc w:val="left"/>
      </w:pPr>
      <w:r>
        <w:rPr>
          <w:rFonts w:ascii="Calibri" w:hAnsi="Calibri"/>
          <w:b w:val="0"/>
          <w:color w:val="4A545F"/>
          <w:sz w:val="15"/>
        </w:rPr>
        <w:t>Availability of individual features depends on the subscription plan and the permissions attached to each role.</w:t>
      </w:r>
    </w:p>
    <w:sectPr w:rsidR="00FC693F" w:rsidRPr="0006063C" w:rsidSect="00034616">
      <w:pgSz w:w="11909" w:h="16834"/>
      <w:pgMar w:top="648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