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-assurance-runtime-knowledge-base"/>
    <w:p>
      <w:pPr>
        <w:pStyle w:val="Heading1"/>
      </w:pPr>
      <w:r>
        <w:t xml:space="preserve">AI Assurance Runtime Knowledge Base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knowledge base provides concise runtime grounding for Microsoft Copilot Studio capabilities used by AI Assurance.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files in this folder define product context, model-family definitions, monitoring policy, investigation standards, evidence handling, committee guidance, and practical external reference summaries.</w:t>
      </w:r>
    </w:p>
    <w:bookmarkEnd w:id="11"/>
    <w:bookmarkStart w:id="31" w:name="file-catalog"/>
    <w:p>
      <w:pPr>
        <w:pStyle w:val="Heading2"/>
      </w:pPr>
      <w:r>
        <w:t xml:space="preserve">File Catalog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business/BUSINESS_GLOSSARY.md</w:t>
        </w:r>
      </w:hyperlink>
      <w:r>
        <w:t xml:space="preserve">: Canonical definitions used across all runtime documents.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business/PRODUCTS.md</w:t>
        </w:r>
      </w:hyperlink>
      <w:r>
        <w:t xml:space="preserve">: Product types, revolving versus term distinctions, and monitoring implications.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models/MODEL_INVENTORY.md</w:t>
        </w:r>
      </w:hyperlink>
      <w:r>
        <w:t xml:space="preserve">: Illustrative model inventory for MVP and enterprise-reference models.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models/A_SCORE.md</w:t>
        </w:r>
      </w:hyperlink>
      <w:r>
        <w:t xml:space="preserve">: Acquisition-only model family definition and monitoring rules.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models/B_SCORE.md</w:t>
        </w:r>
      </w:hyperlink>
      <w:r>
        <w:t xml:space="preserve">: Monthly post-booking model family with MOB &gt;= 6 applicability.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models/C_SCORE.md</w:t>
        </w:r>
      </w:hyperlink>
      <w:r>
        <w:t xml:space="preserve">: Bucket 0 and Bucket 1 collections monitoring model family.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policies/MODEL_MONITORING_POLICY.md</w:t>
        </w:r>
      </w:hyperlink>
      <w:r>
        <w:t xml:space="preserve">: Required monitoring review areas and operating principles.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policies/THRESHOLD_MATRIX.md</w:t>
        </w:r>
      </w:hyperlink>
      <w:r>
        <w:t xml:space="preserve">: Synthetic Green/Amber/Red thresholds for demonstration.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policies/ESCALATION_MATRIX.md</w:t>
        </w:r>
      </w:hyperlink>
      <w:r>
        <w:t xml:space="preserve">: Role-based escalation paths and response expectations.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policies/REMEDIATION_PLAYBOOK.md</w:t>
        </w:r>
      </w:hyperlink>
      <w:r>
        <w:t xml:space="preserve">: Allowed remediation actions with triggers and closure criteria.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policies/HUMAN_APPROVAL_POLICY.md</w:t>
        </w:r>
      </w:hyperlink>
      <w:r>
        <w:t xml:space="preserve">: Human decision rights for material actions.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governance/INVESTIGATION_GUIDELINES.md</w:t>
        </w:r>
      </w:hyperlink>
      <w:r>
        <w:t xml:space="preserve">: End-to-end investigation workflow with June 2026 scenario.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governance/EVIDENCE_GUIDELINES.md</w:t>
        </w:r>
      </w:hyperlink>
      <w:r>
        <w:t xml:space="preserve">: Evidence quality rules and evidence ledger requirements.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governance/COMMITTEE_GUIDELINES.md</w:t>
        </w:r>
      </w:hyperlink>
      <w:r>
        <w:t xml:space="preserve">: Committee pack format and reporting boundaries.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governance/MODEL_RISK_STANDARD.md</w:t>
        </w:r>
      </w:hyperlink>
      <w:r>
        <w:t xml:space="preserve">: Practical internal model lifecycle and accountability standard.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references/RBI_MRM_SUMMARY.md</w:t>
        </w:r>
      </w:hyperlink>
      <w:r>
        <w:t xml:space="preserve">: Practical non-legal summary of model risk management themes.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references/MAS_FEAT_SUMMARY.md</w:t>
        </w:r>
      </w:hyperlink>
      <w:r>
        <w:t xml:space="preserve">: Practical non-legal FEAT principles summary.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references/EBA_ML_IRB_SUMMARY.md</w:t>
        </w:r>
      </w:hyperlink>
      <w:r>
        <w:t xml:space="preserve">: Practical non-legal ML governance themes for credit risk.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references/NIST_AI_RMF_SUMMARY.md</w:t>
        </w:r>
      </w:hyperlink>
      <w:r>
        <w:t xml:space="preserve">: Govern, Map, Measure, Manage mapping for AI Assurance.</w:t>
      </w:r>
    </w:p>
    <w:bookmarkEnd w:id="31"/>
    <w:bookmarkStart w:id="32" w:name="what-belongs-here"/>
    <w:p>
      <w:pPr>
        <w:pStyle w:val="Heading2"/>
      </w:pPr>
      <w:r>
        <w:t xml:space="preserve">What Belongs Here</w:t>
      </w:r>
    </w:p>
    <w:p>
      <w:pPr>
        <w:pStyle w:val="Compact"/>
        <w:numPr>
          <w:ilvl w:val="0"/>
          <w:numId w:val="1003"/>
        </w:numPr>
      </w:pPr>
      <w:r>
        <w:t xml:space="preserve">Retrieval-focused markdown grounding used at runtime by Copilot Studio.</w:t>
      </w:r>
    </w:p>
    <w:p>
      <w:pPr>
        <w:pStyle w:val="Compact"/>
        <w:numPr>
          <w:ilvl w:val="0"/>
          <w:numId w:val="1003"/>
        </w:numPr>
      </w:pPr>
      <w:r>
        <w:t xml:space="preserve">Stable definitions, operating rules, and policy summaries.</w:t>
      </w:r>
    </w:p>
    <w:p>
      <w:pPr>
        <w:pStyle w:val="Compact"/>
        <w:numPr>
          <w:ilvl w:val="0"/>
          <w:numId w:val="1003"/>
        </w:numPr>
      </w:pPr>
      <w:r>
        <w:t xml:space="preserve">Synthetic and illustrative content for demonstration.</w:t>
      </w:r>
    </w:p>
    <w:bookmarkEnd w:id="32"/>
    <w:bookmarkStart w:id="33" w:name="what-does-not-belong-here"/>
    <w:p>
      <w:pPr>
        <w:pStyle w:val="Heading2"/>
      </w:pPr>
      <w:r>
        <w:t xml:space="preserve">What Does Not Belong Here</w:t>
      </w:r>
    </w:p>
    <w:p>
      <w:pPr>
        <w:pStyle w:val="Compact"/>
        <w:numPr>
          <w:ilvl w:val="0"/>
          <w:numId w:val="1004"/>
        </w:numPr>
      </w:pPr>
      <w:r>
        <w:t xml:space="preserve">Architecture design documentation.</w:t>
      </w:r>
    </w:p>
    <w:p>
      <w:pPr>
        <w:pStyle w:val="Compact"/>
        <w:numPr>
          <w:ilvl w:val="0"/>
          <w:numId w:val="1004"/>
        </w:numPr>
      </w:pPr>
      <w:r>
        <w:t xml:space="preserve">Test plans and test execution artifacts.</w:t>
      </w:r>
    </w:p>
    <w:p>
      <w:pPr>
        <w:pStyle w:val="Compact"/>
        <w:numPr>
          <w:ilvl w:val="0"/>
          <w:numId w:val="1004"/>
        </w:numPr>
      </w:pPr>
      <w:r>
        <w:t xml:space="preserve">SQL scripts, source code, deployment scripts, or API contracts.</w:t>
      </w:r>
    </w:p>
    <w:p>
      <w:pPr>
        <w:pStyle w:val="Compact"/>
        <w:numPr>
          <w:ilvl w:val="0"/>
          <w:numId w:val="1004"/>
        </w:numPr>
      </w:pPr>
      <w:r>
        <w:t xml:space="preserve">Customer-level, confidential, or personally identifiable data.</w:t>
      </w:r>
    </w:p>
    <w:bookmarkEnd w:id="33"/>
    <w:bookmarkStart w:id="34" w:name="X111d907aa4f6f983faeb9f2ccefbe410f1da8ca"/>
    <w:p>
      <w:pPr>
        <w:pStyle w:val="Heading2"/>
      </w:pPr>
      <w:r>
        <w:t xml:space="preserve">How Copilot Studio Should Use These Documents</w:t>
      </w:r>
    </w:p>
    <w:p>
      <w:pPr>
        <w:pStyle w:val="Compact"/>
        <w:numPr>
          <w:ilvl w:val="0"/>
          <w:numId w:val="1005"/>
        </w:numPr>
      </w:pPr>
      <w:r>
        <w:t xml:space="preserve">Use glossary and model files to normalize terminology.</w:t>
      </w:r>
    </w:p>
    <w:p>
      <w:pPr>
        <w:pStyle w:val="Compact"/>
        <w:numPr>
          <w:ilvl w:val="0"/>
          <w:numId w:val="1005"/>
        </w:numPr>
      </w:pPr>
      <w:r>
        <w:t xml:space="preserve">Use policy files to classify severity, escalation, remediation options, and approval needs.</w:t>
      </w:r>
    </w:p>
    <w:p>
      <w:pPr>
        <w:pStyle w:val="Compact"/>
        <w:numPr>
          <w:ilvl w:val="0"/>
          <w:numId w:val="1005"/>
        </w:numPr>
      </w:pPr>
      <w:r>
        <w:t xml:space="preserve">Use governance files to structure investigation outputs and evidence-backed findings.</w:t>
      </w:r>
    </w:p>
    <w:p>
      <w:pPr>
        <w:pStyle w:val="Compact"/>
        <w:numPr>
          <w:ilvl w:val="0"/>
          <w:numId w:val="1005"/>
        </w:numPr>
      </w:pPr>
      <w:r>
        <w:t xml:space="preserve">Use reference summaries only as practical context, not legal or regulatory advice.</w:t>
      </w:r>
    </w:p>
    <w:bookmarkEnd w:id="34"/>
    <w:bookmarkStart w:id="35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AI Assurance Orchestrator and specialist agents retrieve this folder as the primary runtime grounding source for monitoring interpretation, investigation drafting, governance checks, and committee-pack preparation.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business/BUSINESS_GLOSSARY.md" TargetMode="External" /><Relationship Type="http://schemas.openxmlformats.org/officeDocument/2006/relationships/hyperlink" Id="rId13" Target="business/PRODUCTS.md" TargetMode="External" /><Relationship Type="http://schemas.openxmlformats.org/officeDocument/2006/relationships/hyperlink" Id="rId25" Target="governance/COMMITTEE_GUIDELINES.md" TargetMode="External" /><Relationship Type="http://schemas.openxmlformats.org/officeDocument/2006/relationships/hyperlink" Id="rId24" Target="governance/EVIDENCE_GUIDELINES.md" TargetMode="External" /><Relationship Type="http://schemas.openxmlformats.org/officeDocument/2006/relationships/hyperlink" Id="rId23" Target="governance/INVESTIGATION_GUIDELINES.md" TargetMode="External" /><Relationship Type="http://schemas.openxmlformats.org/officeDocument/2006/relationships/hyperlink" Id="rId26" Target="governance/MODEL_RISK_STANDARD.md" TargetMode="External" /><Relationship Type="http://schemas.openxmlformats.org/officeDocument/2006/relationships/hyperlink" Id="rId15" Target="models/A_SCORE.md" TargetMode="External" /><Relationship Type="http://schemas.openxmlformats.org/officeDocument/2006/relationships/hyperlink" Id="rId16" Target="models/B_SCORE.md" TargetMode="External" /><Relationship Type="http://schemas.openxmlformats.org/officeDocument/2006/relationships/hyperlink" Id="rId17" Target="models/C_SCORE.md" TargetMode="External" /><Relationship Type="http://schemas.openxmlformats.org/officeDocument/2006/relationships/hyperlink" Id="rId14" Target="models/MODEL_INVENTORY.md" TargetMode="External" /><Relationship Type="http://schemas.openxmlformats.org/officeDocument/2006/relationships/hyperlink" Id="rId20" Target="policies/ESCALATION_MATRIX.md" TargetMode="External" /><Relationship Type="http://schemas.openxmlformats.org/officeDocument/2006/relationships/hyperlink" Id="rId22" Target="policies/HUMAN_APPROVAL_POLICY.md" TargetMode="External" /><Relationship Type="http://schemas.openxmlformats.org/officeDocument/2006/relationships/hyperlink" Id="rId18" Target="policies/MODEL_MONITORING_POLICY.md" TargetMode="External" /><Relationship Type="http://schemas.openxmlformats.org/officeDocument/2006/relationships/hyperlink" Id="rId21" Target="policies/REMEDIATION_PLAYBOOK.md" TargetMode="External" /><Relationship Type="http://schemas.openxmlformats.org/officeDocument/2006/relationships/hyperlink" Id="rId19" Target="policies/THRESHOLD_MATRIX.md" TargetMode="External" /><Relationship Type="http://schemas.openxmlformats.org/officeDocument/2006/relationships/hyperlink" Id="rId29" Target="references/EBA_ML_IRB_SUMMARY.md" TargetMode="External" /><Relationship Type="http://schemas.openxmlformats.org/officeDocument/2006/relationships/hyperlink" Id="rId28" Target="references/MAS_FEAT_SUMMARY.md" TargetMode="External" /><Relationship Type="http://schemas.openxmlformats.org/officeDocument/2006/relationships/hyperlink" Id="rId30" Target="references/NIST_AI_RMF_SUMMARY.md" TargetMode="External" /><Relationship Type="http://schemas.openxmlformats.org/officeDocument/2006/relationships/hyperlink" Id="rId27" Target="references/RBI_MRM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business/BUSINESS_GLOSSARY.md" TargetMode="External" /><Relationship Type="http://schemas.openxmlformats.org/officeDocument/2006/relationships/hyperlink" Id="rId13" Target="business/PRODUCTS.md" TargetMode="External" /><Relationship Type="http://schemas.openxmlformats.org/officeDocument/2006/relationships/hyperlink" Id="rId25" Target="governance/COMMITTEE_GUIDELINES.md" TargetMode="External" /><Relationship Type="http://schemas.openxmlformats.org/officeDocument/2006/relationships/hyperlink" Id="rId24" Target="governance/EVIDENCE_GUIDELINES.md" TargetMode="External" /><Relationship Type="http://schemas.openxmlformats.org/officeDocument/2006/relationships/hyperlink" Id="rId23" Target="governance/INVESTIGATION_GUIDELINES.md" TargetMode="External" /><Relationship Type="http://schemas.openxmlformats.org/officeDocument/2006/relationships/hyperlink" Id="rId26" Target="governance/MODEL_RISK_STANDARD.md" TargetMode="External" /><Relationship Type="http://schemas.openxmlformats.org/officeDocument/2006/relationships/hyperlink" Id="rId15" Target="models/A_SCORE.md" TargetMode="External" /><Relationship Type="http://schemas.openxmlformats.org/officeDocument/2006/relationships/hyperlink" Id="rId16" Target="models/B_SCORE.md" TargetMode="External" /><Relationship Type="http://schemas.openxmlformats.org/officeDocument/2006/relationships/hyperlink" Id="rId17" Target="models/C_SCORE.md" TargetMode="External" /><Relationship Type="http://schemas.openxmlformats.org/officeDocument/2006/relationships/hyperlink" Id="rId14" Target="models/MODEL_INVENTORY.md" TargetMode="External" /><Relationship Type="http://schemas.openxmlformats.org/officeDocument/2006/relationships/hyperlink" Id="rId20" Target="policies/ESCALATION_MATRIX.md" TargetMode="External" /><Relationship Type="http://schemas.openxmlformats.org/officeDocument/2006/relationships/hyperlink" Id="rId22" Target="policies/HUMAN_APPROVAL_POLICY.md" TargetMode="External" /><Relationship Type="http://schemas.openxmlformats.org/officeDocument/2006/relationships/hyperlink" Id="rId18" Target="policies/MODEL_MONITORING_POLICY.md" TargetMode="External" /><Relationship Type="http://schemas.openxmlformats.org/officeDocument/2006/relationships/hyperlink" Id="rId21" Target="policies/REMEDIATION_PLAYBOOK.md" TargetMode="External" /><Relationship Type="http://schemas.openxmlformats.org/officeDocument/2006/relationships/hyperlink" Id="rId19" Target="policies/THRESHOLD_MATRIX.md" TargetMode="External" /><Relationship Type="http://schemas.openxmlformats.org/officeDocument/2006/relationships/hyperlink" Id="rId29" Target="references/EBA_ML_IRB_SUMMARY.md" TargetMode="External" /><Relationship Type="http://schemas.openxmlformats.org/officeDocument/2006/relationships/hyperlink" Id="rId28" Target="references/MAS_FEAT_SUMMARY.md" TargetMode="External" /><Relationship Type="http://schemas.openxmlformats.org/officeDocument/2006/relationships/hyperlink" Id="rId30" Target="references/NIST_AI_RMF_SUMMARY.md" TargetMode="External" /><Relationship Type="http://schemas.openxmlformats.org/officeDocument/2006/relationships/hyperlink" Id="rId27" Target="references/RBI_MRM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