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business-glossary"/>
    <w:p>
      <w:pPr>
        <w:pStyle w:val="Heading1"/>
      </w:pPr>
      <w:r>
        <w:t xml:space="preserve">Business Glossary</w:t>
      </w:r>
    </w:p>
    <w:bookmarkStart w:id="9" w:name="metadata"/>
    <w:p>
      <w:pPr>
        <w:pStyle w:val="Heading2"/>
      </w:pPr>
      <w:r>
        <w:t xml:space="preserve">Metadata</w:t>
      </w:r>
    </w:p>
    <w:p>
      <w:pPr>
        <w:pStyle w:val="Compact"/>
        <w:numPr>
          <w:ilvl w:val="0"/>
          <w:numId w:val="1001"/>
        </w:numPr>
      </w:pPr>
      <w:r>
        <w:t xml:space="preserve">Document Owner: AI Assurance Product and Governance Team</w:t>
      </w:r>
    </w:p>
    <w:p>
      <w:pPr>
        <w:pStyle w:val="Compact"/>
        <w:numPr>
          <w:ilvl w:val="0"/>
          <w:numId w:val="1001"/>
        </w:numPr>
      </w:pPr>
      <w:r>
        <w:t xml:space="preserve">Version: 1.0</w:t>
      </w:r>
    </w:p>
    <w:p>
      <w:pPr>
        <w:pStyle w:val="Compact"/>
        <w:numPr>
          <w:ilvl w:val="0"/>
          <w:numId w:val="1001"/>
        </w:numPr>
      </w:pPr>
      <w:r>
        <w:t xml:space="preserve">Effective Date: July 2026</w:t>
      </w:r>
    </w:p>
    <w:p>
      <w:pPr>
        <w:pStyle w:val="Compact"/>
        <w:numPr>
          <w:ilvl w:val="0"/>
          <w:numId w:val="1001"/>
        </w:numPr>
      </w:pPr>
      <w:r>
        <w:t xml:space="preserve">Review Frequency: Quarterly</w:t>
      </w:r>
    </w:p>
    <w:p>
      <w:pPr>
        <w:pStyle w:val="Compact"/>
        <w:numPr>
          <w:ilvl w:val="0"/>
          <w:numId w:val="1001"/>
        </w:numPr>
      </w:pPr>
      <w:r>
        <w:t xml:space="preserve">Status: Draft for Training Demonstration</w:t>
      </w:r>
    </w:p>
    <w:bookmarkEnd w:id="9"/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one unambiguous definition for key terms used by AI Assurance runtime workflows.</w:t>
      </w:r>
    </w:p>
    <w:bookmarkEnd w:id="10"/>
    <w:bookmarkStart w:id="11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Applies to all files under this knowledge base and all Copilot-generated monitoring, investigation, governance, and approval outputs.</w:t>
      </w:r>
    </w:p>
    <w:bookmarkEnd w:id="11"/>
    <w:bookmarkStart w:id="39" w:name="terms"/>
    <w:p>
      <w:pPr>
        <w:pStyle w:val="Heading2"/>
      </w:pPr>
      <w:r>
        <w:t xml:space="preserve">Terms</w:t>
      </w:r>
    </w:p>
    <w:bookmarkStart w:id="12" w:name="a-score"/>
    <w:p>
      <w:pPr>
        <w:pStyle w:val="Heading3"/>
      </w:pPr>
      <w:r>
        <w:t xml:space="preserve">A Score</w:t>
      </w:r>
    </w:p>
    <w:p>
      <w:pPr>
        <w:pStyle w:val="FirstParagraph"/>
      </w:pPr>
      <w:r>
        <w:t xml:space="preserve">Acquisition-only score generated at application date to estimate early future risk after booking.</w:t>
      </w:r>
    </w:p>
    <w:bookmarkEnd w:id="12"/>
    <w:bookmarkStart w:id="13" w:name="b-score"/>
    <w:p>
      <w:pPr>
        <w:pStyle w:val="Heading3"/>
      </w:pPr>
      <w:r>
        <w:t xml:space="preserve">B Score</w:t>
      </w:r>
    </w:p>
    <w:p>
      <w:pPr>
        <w:pStyle w:val="FirstParagraph"/>
      </w:pPr>
      <w:r>
        <w:t xml:space="preserve">Monthly post-booking behavior score applied only when MOB &gt;= 6.</w:t>
      </w:r>
    </w:p>
    <w:bookmarkEnd w:id="13"/>
    <w:bookmarkStart w:id="14" w:name="c-score"/>
    <w:p>
      <w:pPr>
        <w:pStyle w:val="Heading3"/>
      </w:pPr>
      <w:r>
        <w:t xml:space="preserve">C Score</w:t>
      </w:r>
    </w:p>
    <w:p>
      <w:pPr>
        <w:pStyle w:val="FirstParagraph"/>
      </w:pPr>
      <w:r>
        <w:t xml:space="preserve">Collections score used for delinquency bucket transition monitoring, limited here to Bucket 0 and Bucket 1.</w:t>
      </w:r>
    </w:p>
    <w:bookmarkEnd w:id="14"/>
    <w:bookmarkStart w:id="15" w:name="mob"/>
    <w:p>
      <w:pPr>
        <w:pStyle w:val="Heading3"/>
      </w:pPr>
      <w:r>
        <w:t xml:space="preserve">MOB</w:t>
      </w:r>
    </w:p>
    <w:p>
      <w:pPr>
        <w:pStyle w:val="FirstParagraph"/>
      </w:pPr>
      <w:r>
        <w:t xml:space="preserve">Months on books, measured as complete months since booking date.</w:t>
      </w:r>
    </w:p>
    <w:bookmarkEnd w:id="15"/>
    <w:bookmarkStart w:id="16" w:name="dpd"/>
    <w:p>
      <w:pPr>
        <w:pStyle w:val="Heading3"/>
      </w:pPr>
      <w:r>
        <w:t xml:space="preserve">DPD</w:t>
      </w:r>
    </w:p>
    <w:p>
      <w:pPr>
        <w:pStyle w:val="FirstParagraph"/>
      </w:pPr>
      <w:r>
        <w:t xml:space="preserve">Days past due for contractual payment obligations at observation date.</w:t>
      </w:r>
    </w:p>
    <w:bookmarkEnd w:id="16"/>
    <w:bookmarkStart w:id="17" w:name="psi"/>
    <w:p>
      <w:pPr>
        <w:pStyle w:val="Heading3"/>
      </w:pPr>
      <w:r>
        <w:t xml:space="preserve">PSI</w:t>
      </w:r>
    </w:p>
    <w:p>
      <w:pPr>
        <w:pStyle w:val="FirstParagraph"/>
      </w:pPr>
      <w:r>
        <w:t xml:space="preserve">Population Stability Index measuring distribution shift between current and reference populations.</w:t>
      </w:r>
    </w:p>
    <w:bookmarkEnd w:id="17"/>
    <w:bookmarkStart w:id="18" w:name="csi"/>
    <w:p>
      <w:pPr>
        <w:pStyle w:val="Heading3"/>
      </w:pPr>
      <w:r>
        <w:t xml:space="preserve">CSI</w:t>
      </w:r>
    </w:p>
    <w:p>
      <w:pPr>
        <w:pStyle w:val="FirstParagraph"/>
      </w:pPr>
      <w:r>
        <w:t xml:space="preserve">Characteristic Stability Index measuring shift in feature distributions between current and reference data.</w:t>
      </w:r>
    </w:p>
    <w:bookmarkEnd w:id="18"/>
    <w:bookmarkStart w:id="19" w:name="gini"/>
    <w:p>
      <w:pPr>
        <w:pStyle w:val="Heading3"/>
      </w:pPr>
      <w:r>
        <w:t xml:space="preserve">Gini</w:t>
      </w:r>
    </w:p>
    <w:p>
      <w:pPr>
        <w:pStyle w:val="FirstParagraph"/>
      </w:pPr>
      <w:r>
        <w:t xml:space="preserve">Discrimination metric derived from rank-ordering quality, often computed from AUC as 2 x AUC - 1.</w:t>
      </w:r>
    </w:p>
    <w:bookmarkEnd w:id="19"/>
    <w:bookmarkStart w:id="20" w:name="ks"/>
    <w:p>
      <w:pPr>
        <w:pStyle w:val="Heading3"/>
      </w:pPr>
      <w:r>
        <w:t xml:space="preserve">KS</w:t>
      </w:r>
    </w:p>
    <w:p>
      <w:pPr>
        <w:pStyle w:val="FirstParagraph"/>
      </w:pPr>
      <w:r>
        <w:t xml:space="preserve">Kolmogorov-Smirnov statistic measuring maximum separation between event and non-event cumulative distributions.</w:t>
      </w:r>
    </w:p>
    <w:bookmarkEnd w:id="20"/>
    <w:bookmarkStart w:id="21" w:name="auc"/>
    <w:p>
      <w:pPr>
        <w:pStyle w:val="Heading3"/>
      </w:pPr>
      <w:r>
        <w:t xml:space="preserve">AUC</w:t>
      </w:r>
    </w:p>
    <w:p>
      <w:pPr>
        <w:pStyle w:val="FirstParagraph"/>
      </w:pPr>
      <w:r>
        <w:t xml:space="preserve">Area under the ROC curve, representing discrimination ability across thresholds.</w:t>
      </w:r>
    </w:p>
    <w:bookmarkEnd w:id="21"/>
    <w:bookmarkStart w:id="22" w:name="calibration"/>
    <w:p>
      <w:pPr>
        <w:pStyle w:val="Heading3"/>
      </w:pPr>
      <w:r>
        <w:t xml:space="preserve">Calibration</w:t>
      </w:r>
    </w:p>
    <w:p>
      <w:pPr>
        <w:pStyle w:val="FirstParagraph"/>
      </w:pPr>
      <w:r>
        <w:t xml:space="preserve">Alignment between predicted risk and observed outcome rate for a defined population and time window.</w:t>
      </w:r>
    </w:p>
    <w:bookmarkEnd w:id="22"/>
    <w:bookmarkStart w:id="23" w:name="oe-ratio"/>
    <w:p>
      <w:pPr>
        <w:pStyle w:val="Heading3"/>
      </w:pPr>
      <w:r>
        <w:t xml:space="preserve">O/E Ratio</w:t>
      </w:r>
    </w:p>
    <w:p>
      <w:pPr>
        <w:pStyle w:val="FirstParagraph"/>
      </w:pPr>
      <w:r>
        <w:t xml:space="preserve">Observed-to-Expected ratio comparing realized event rate to model-expected event rate.</w:t>
      </w:r>
    </w:p>
    <w:bookmarkEnd w:id="23"/>
    <w:bookmarkStart w:id="24" w:name="maturity"/>
    <w:p>
      <w:pPr>
        <w:pStyle w:val="Heading3"/>
      </w:pPr>
      <w:r>
        <w:t xml:space="preserve">Maturity</w:t>
      </w:r>
    </w:p>
    <w:p>
      <w:pPr>
        <w:pStyle w:val="FirstParagraph"/>
      </w:pPr>
      <w:r>
        <w:t xml:space="preserve">Condition where a performance window is fully elapsed and outcomes are final enough for outcome monitoring.</w:t>
      </w:r>
    </w:p>
    <w:bookmarkEnd w:id="24"/>
    <w:bookmarkStart w:id="25" w:name="censoring"/>
    <w:p>
      <w:pPr>
        <w:pStyle w:val="Heading3"/>
      </w:pPr>
      <w:r>
        <w:t xml:space="preserve">Censoring</w:t>
      </w:r>
    </w:p>
    <w:p>
      <w:pPr>
        <w:pStyle w:val="FirstParagraph"/>
      </w:pPr>
      <w:r>
        <w:t xml:space="preserve">Incompleteness of observed outcomes because full performance window has not elapsed or outcomes are interrupted.</w:t>
      </w:r>
    </w:p>
    <w:bookmarkEnd w:id="25"/>
    <w:bookmarkStart w:id="26" w:name="vintage"/>
    <w:p>
      <w:pPr>
        <w:pStyle w:val="Heading3"/>
      </w:pPr>
      <w:r>
        <w:t xml:space="preserve">Vintage</w:t>
      </w:r>
    </w:p>
    <w:p>
      <w:pPr>
        <w:pStyle w:val="FirstParagraph"/>
      </w:pPr>
      <w:r>
        <w:t xml:space="preserve">Cohort defined by common origination or booking period for trend comparison over time.</w:t>
      </w:r>
    </w:p>
    <w:bookmarkEnd w:id="26"/>
    <w:bookmarkStart w:id="27" w:name="roll-rate"/>
    <w:p>
      <w:pPr>
        <w:pStyle w:val="Heading3"/>
      </w:pPr>
      <w:r>
        <w:t xml:space="preserve">Roll Rate</w:t>
      </w:r>
    </w:p>
    <w:p>
      <w:pPr>
        <w:pStyle w:val="FirstParagraph"/>
      </w:pPr>
      <w:r>
        <w:t xml:space="preserve">Proportion of accounts transitioning from one delinquency bucket to a worse bucket over a defined interval.</w:t>
      </w:r>
    </w:p>
    <w:bookmarkEnd w:id="27"/>
    <w:bookmarkStart w:id="28" w:name="cure"/>
    <w:p>
      <w:pPr>
        <w:pStyle w:val="Heading3"/>
      </w:pPr>
      <w:r>
        <w:t xml:space="preserve">Cure</w:t>
      </w:r>
    </w:p>
    <w:p>
      <w:pPr>
        <w:pStyle w:val="FirstParagraph"/>
      </w:pPr>
      <w:r>
        <w:t xml:space="preserve">Transition from delinquent status to current or materially improved repayment status.</w:t>
      </w:r>
    </w:p>
    <w:bookmarkEnd w:id="28"/>
    <w:bookmarkStart w:id="29" w:name="redefault"/>
    <w:p>
      <w:pPr>
        <w:pStyle w:val="Heading3"/>
      </w:pPr>
      <w:r>
        <w:t xml:space="preserve">Redefault</w:t>
      </w:r>
    </w:p>
    <w:p>
      <w:pPr>
        <w:pStyle w:val="FirstParagraph"/>
      </w:pPr>
      <w:r>
        <w:t xml:space="preserve">Return to delinquency after a prior cure within a defined follow-up period.</w:t>
      </w:r>
    </w:p>
    <w:bookmarkEnd w:id="29"/>
    <w:bookmarkStart w:id="30" w:name="thin-file"/>
    <w:p>
      <w:pPr>
        <w:pStyle w:val="Heading3"/>
      </w:pPr>
      <w:r>
        <w:t xml:space="preserve">Thin-file</w:t>
      </w:r>
    </w:p>
    <w:p>
      <w:pPr>
        <w:pStyle w:val="FirstParagraph"/>
      </w:pPr>
      <w:r>
        <w:t xml:space="preserve">Applicant or account profile with limited bureau or historical credit information.</w:t>
      </w:r>
    </w:p>
    <w:bookmarkEnd w:id="30"/>
    <w:bookmarkStart w:id="31" w:name="policy-as-code"/>
    <w:p>
      <w:pPr>
        <w:pStyle w:val="Heading3"/>
      </w:pPr>
      <w:r>
        <w:t xml:space="preserve">Policy-as-code</w:t>
      </w:r>
    </w:p>
    <w:p>
      <w:pPr>
        <w:pStyle w:val="FirstParagraph"/>
      </w:pPr>
      <w:r>
        <w:t xml:space="preserve">Executable representation of policy rules used for deterministic checks, traceability, and reproducibility.</w:t>
      </w:r>
    </w:p>
    <w:bookmarkEnd w:id="31"/>
    <w:bookmarkStart w:id="32" w:name="evidence-ledger"/>
    <w:p>
      <w:pPr>
        <w:pStyle w:val="Heading3"/>
      </w:pPr>
      <w:r>
        <w:t xml:space="preserve">Evidence Ledger</w:t>
      </w:r>
    </w:p>
    <w:p>
      <w:pPr>
        <w:pStyle w:val="FirstParagraph"/>
      </w:pPr>
      <w:r>
        <w:t xml:space="preserve">Structured log of evidence items, sources, timestamps, tool calls, and supported conclusions.</w:t>
      </w:r>
    </w:p>
    <w:bookmarkEnd w:id="32"/>
    <w:bookmarkStart w:id="33" w:name="investigation"/>
    <w:p>
      <w:pPr>
        <w:pStyle w:val="Heading3"/>
      </w:pPr>
      <w:r>
        <w:t xml:space="preserve">Investigation</w:t>
      </w:r>
    </w:p>
    <w:p>
      <w:pPr>
        <w:pStyle w:val="FirstParagraph"/>
      </w:pPr>
      <w:r>
        <w:t xml:space="preserve">Structured process to test hypotheses and establish evidence-backed findings for observed monitoring signals.</w:t>
      </w:r>
    </w:p>
    <w:bookmarkEnd w:id="33"/>
    <w:bookmarkStart w:id="34" w:name="finding"/>
    <w:p>
      <w:pPr>
        <w:pStyle w:val="Heading3"/>
      </w:pPr>
      <w:r>
        <w:t xml:space="preserve">Finding</w:t>
      </w:r>
    </w:p>
    <w:p>
      <w:pPr>
        <w:pStyle w:val="FirstParagraph"/>
      </w:pPr>
      <w:r>
        <w:t xml:space="preserve">Evidence-backed statement about what was observed and validated during investigation.</w:t>
      </w:r>
    </w:p>
    <w:bookmarkEnd w:id="34"/>
    <w:bookmarkStart w:id="35" w:name="root-cause"/>
    <w:p>
      <w:pPr>
        <w:pStyle w:val="Heading3"/>
      </w:pPr>
      <w:r>
        <w:t xml:space="preserve">Root Cause</w:t>
      </w:r>
    </w:p>
    <w:p>
      <w:pPr>
        <w:pStyle w:val="FirstParagraph"/>
      </w:pPr>
      <w:r>
        <w:t xml:space="preserve">Primary causal factor that best explains a material finding after testing counter-evidence.</w:t>
      </w:r>
    </w:p>
    <w:bookmarkEnd w:id="35"/>
    <w:bookmarkStart w:id="36" w:name="recommendation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Proposed action based on findings, policy rules, and governance constraints.</w:t>
      </w:r>
    </w:p>
    <w:bookmarkEnd w:id="36"/>
    <w:bookmarkStart w:id="37" w:name="human-approval"/>
    <w:p>
      <w:pPr>
        <w:pStyle w:val="Heading3"/>
      </w:pPr>
      <w:r>
        <w:t xml:space="preserve">Human Approval</w:t>
      </w:r>
    </w:p>
    <w:p>
      <w:pPr>
        <w:pStyle w:val="FirstParagraph"/>
      </w:pPr>
      <w:r>
        <w:t xml:space="preserve">Recorded human decision required before material governance actions are executed.</w:t>
      </w:r>
    </w:p>
    <w:bookmarkEnd w:id="37"/>
    <w:bookmarkStart w:id="38" w:name="remediation"/>
    <w:p>
      <w:pPr>
        <w:pStyle w:val="Heading3"/>
      </w:pPr>
      <w:r>
        <w:t xml:space="preserve">Remediation</w:t>
      </w:r>
    </w:p>
    <w:p>
      <w:pPr>
        <w:pStyle w:val="FirstParagraph"/>
      </w:pPr>
      <w:r>
        <w:t xml:space="preserve">Controlled action plan to address confirmed issues and close monitoring findings.</w:t>
      </w:r>
    </w:p>
    <w:bookmarkEnd w:id="38"/>
    <w:bookmarkEnd w:id="39"/>
    <w:bookmarkStart w:id="43" w:name="related-documents"/>
    <w:p>
      <w:pPr>
        <w:pStyle w:val="Heading2"/>
      </w:pPr>
      <w:r>
        <w:t xml:space="preserve">Related Documents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PRODUCTS.md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../models/B_SCORE.md</w:t>
        </w:r>
      </w:hyperlink>
    </w:p>
    <w:p>
      <w:pPr>
        <w:pStyle w:val="Compact"/>
        <w:numPr>
          <w:ilvl w:val="0"/>
          <w:numId w:val="1002"/>
        </w:numPr>
      </w:pPr>
      <w:hyperlink r:id="rId42">
        <w:r>
          <w:rPr>
            <w:rStyle w:val="Hyperlink"/>
          </w:rPr>
          <w:t xml:space="preserve">../policies/MODEL_MONITORING_POLICY.md</w:t>
        </w:r>
      </w:hyperlink>
    </w:p>
    <w:bookmarkEnd w:id="43"/>
    <w:bookmarkStart w:id="44" w:name="copilot-usage"/>
    <w:p>
      <w:pPr>
        <w:pStyle w:val="Heading2"/>
      </w:pPr>
      <w:r>
        <w:t xml:space="preserve">Copilot Usage</w:t>
      </w:r>
    </w:p>
    <w:p>
      <w:pPr>
        <w:pStyle w:val="FirstParagraph"/>
      </w:pPr>
      <w:r>
        <w:t xml:space="preserve">All AI Assurance agents should treat this file as the canonical term source and resolve terminology conflicts in favor of these definitions.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1" Target="../models/B_SCORE.md" TargetMode="External" /><Relationship Type="http://schemas.openxmlformats.org/officeDocument/2006/relationships/hyperlink" Id="rId42" Target="../policies/MODEL_MONITORING_POLICY.md" TargetMode="External" /><Relationship Type="http://schemas.openxmlformats.org/officeDocument/2006/relationships/hyperlink" Id="rId40" Target="PRODUC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../models/B_SCORE.md" TargetMode="External" /><Relationship Type="http://schemas.openxmlformats.org/officeDocument/2006/relationships/hyperlink" Id="rId42" Target="../policies/MODEL_MONITORING_POLICY.md" TargetMode="External" /><Relationship Type="http://schemas.openxmlformats.org/officeDocument/2006/relationships/hyperlink" Id="rId40" Target="PRODUC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2026-07-14T00:59:49Z</dcterms:created>
  <dcterms:modified xsi:type="dcterms:W3CDTF">2026-07-14T00:59:49Z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