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roducts"/>
    <w:p>
      <w:pPr>
        <w:pStyle w:val="Heading1"/>
      </w:pPr>
      <w:r>
        <w:t xml:space="preserve">Products</w:t>
      </w:r>
    </w:p>
    <w:bookmarkStart w:id="9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t xml:space="preserve">Document Owner: AI Assurance Product and Governance Team</w:t>
      </w:r>
    </w:p>
    <w:p>
      <w:pPr>
        <w:pStyle w:val="Compact"/>
        <w:numPr>
          <w:ilvl w:val="0"/>
          <w:numId w:val="1001"/>
        </w:numPr>
      </w:pPr>
      <w:r>
        <w:t xml:space="preserve">Version: 1.0</w:t>
      </w:r>
    </w:p>
    <w:p>
      <w:pPr>
        <w:pStyle w:val="Compact"/>
        <w:numPr>
          <w:ilvl w:val="0"/>
          <w:numId w:val="1001"/>
        </w:numPr>
      </w:pPr>
      <w:r>
        <w:t xml:space="preserve">Effective Date: July 2026</w:t>
      </w:r>
    </w:p>
    <w:p>
      <w:pPr>
        <w:pStyle w:val="Compact"/>
        <w:numPr>
          <w:ilvl w:val="0"/>
          <w:numId w:val="1001"/>
        </w:numPr>
      </w:pPr>
      <w:r>
        <w:t xml:space="preserve">Review Frequency: Quarterly</w:t>
      </w:r>
    </w:p>
    <w:p>
      <w:pPr>
        <w:pStyle w:val="Compact"/>
        <w:numPr>
          <w:ilvl w:val="0"/>
          <w:numId w:val="1001"/>
        </w:numPr>
      </w:pPr>
      <w:r>
        <w:t xml:space="preserve">Status: Draft for Training Demonstration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product context for monitoring, investigation, and governance interpretation.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Covers Credit Card, Speedy Cash, and Speedy Loan in MVP and enterprise-reference operating modes.</w:t>
      </w:r>
    </w:p>
    <w:bookmarkEnd w:id="11"/>
    <w:bookmarkStart w:id="15" w:name="product-types"/>
    <w:p>
      <w:pPr>
        <w:pStyle w:val="Heading2"/>
      </w:pPr>
      <w:r>
        <w:t xml:space="preserve">Product Types</w:t>
      </w:r>
    </w:p>
    <w:bookmarkStart w:id="12" w:name="credit-card"/>
    <w:p>
      <w:pPr>
        <w:pStyle w:val="Heading3"/>
      </w:pPr>
      <w:r>
        <w:t xml:space="preserve">Credit Card</w:t>
      </w:r>
    </w:p>
    <w:p>
      <w:pPr>
        <w:pStyle w:val="Compact"/>
        <w:numPr>
          <w:ilvl w:val="0"/>
          <w:numId w:val="1002"/>
        </w:numPr>
      </w:pPr>
      <w:r>
        <w:t xml:space="preserve">Type: Revolving product.</w:t>
      </w:r>
    </w:p>
    <w:p>
      <w:pPr>
        <w:pStyle w:val="Compact"/>
        <w:numPr>
          <w:ilvl w:val="0"/>
          <w:numId w:val="1002"/>
        </w:numPr>
      </w:pPr>
      <w:r>
        <w:t xml:space="preserve">Balance behavior: Dynamic revolving balance and payment utilization patterns.</w:t>
      </w:r>
    </w:p>
    <w:p>
      <w:pPr>
        <w:pStyle w:val="Compact"/>
        <w:numPr>
          <w:ilvl w:val="0"/>
          <w:numId w:val="1002"/>
        </w:numPr>
      </w:pPr>
      <w:r>
        <w:t xml:space="preserve">Typical monitoring focus: utilization drift, payment hierarchy effects, line assignment changes, delinquency migration.</w:t>
      </w:r>
    </w:p>
    <w:bookmarkEnd w:id="12"/>
    <w:bookmarkStart w:id="13" w:name="speedy-cash"/>
    <w:p>
      <w:pPr>
        <w:pStyle w:val="Heading3"/>
      </w:pPr>
      <w:r>
        <w:t xml:space="preserve">Speedy Cash</w:t>
      </w:r>
    </w:p>
    <w:p>
      <w:pPr>
        <w:pStyle w:val="Compact"/>
        <w:numPr>
          <w:ilvl w:val="0"/>
          <w:numId w:val="1003"/>
        </w:numPr>
      </w:pPr>
      <w:r>
        <w:t xml:space="preserve">Type: Revolving product.</w:t>
      </w:r>
    </w:p>
    <w:p>
      <w:pPr>
        <w:pStyle w:val="Compact"/>
        <w:numPr>
          <w:ilvl w:val="0"/>
          <w:numId w:val="1003"/>
        </w:numPr>
      </w:pPr>
      <w:r>
        <w:t xml:space="preserve">Balance behavior: Short-cycle revolving exposures with frequent draw and repay behavior.</w:t>
      </w:r>
    </w:p>
    <w:p>
      <w:pPr>
        <w:pStyle w:val="Compact"/>
        <w:numPr>
          <w:ilvl w:val="0"/>
          <w:numId w:val="1003"/>
        </w:numPr>
      </w:pPr>
      <w:r>
        <w:t xml:space="preserve">Typical monitoring focus: draw frequency shift, cycle-level payment volatility, bureau refresh quality, delinquency transition speed.</w:t>
      </w:r>
    </w:p>
    <w:bookmarkEnd w:id="13"/>
    <w:bookmarkStart w:id="14" w:name="speedy-loan"/>
    <w:p>
      <w:pPr>
        <w:pStyle w:val="Heading3"/>
      </w:pPr>
      <w:r>
        <w:t xml:space="preserve">Speedy Loan</w:t>
      </w:r>
    </w:p>
    <w:p>
      <w:pPr>
        <w:pStyle w:val="Compact"/>
        <w:numPr>
          <w:ilvl w:val="0"/>
          <w:numId w:val="1004"/>
        </w:numPr>
      </w:pPr>
      <w:r>
        <w:t xml:space="preserve">Type: Term loan product.</w:t>
      </w:r>
    </w:p>
    <w:p>
      <w:pPr>
        <w:pStyle w:val="Compact"/>
        <w:numPr>
          <w:ilvl w:val="0"/>
          <w:numId w:val="1004"/>
        </w:numPr>
      </w:pPr>
      <w:r>
        <w:t xml:space="preserve">Balance behavior: Contracted amortization schedule with fixed or structured installment behavior.</w:t>
      </w:r>
    </w:p>
    <w:p>
      <w:pPr>
        <w:pStyle w:val="Compact"/>
        <w:numPr>
          <w:ilvl w:val="0"/>
          <w:numId w:val="1004"/>
        </w:numPr>
      </w:pPr>
      <w:r>
        <w:t xml:space="preserve">Typical monitoring focus: installment adherence, prepayment and restructuring effects, term-stage delinquency transitions.</w:t>
      </w:r>
    </w:p>
    <w:bookmarkEnd w:id="14"/>
    <w:bookmarkEnd w:id="15"/>
    <w:bookmarkStart w:id="16" w:name="X6eb287d4356a550c1236c01c4e45100cf37a453"/>
    <w:p>
      <w:pPr>
        <w:pStyle w:val="Heading2"/>
      </w:pPr>
      <w:r>
        <w:t xml:space="preserve">Revolving Versus Term Monitoring Implications</w:t>
      </w:r>
    </w:p>
    <w:p>
      <w:pPr>
        <w:pStyle w:val="Compact"/>
        <w:numPr>
          <w:ilvl w:val="0"/>
          <w:numId w:val="1005"/>
        </w:numPr>
      </w:pPr>
      <w:r>
        <w:t xml:space="preserve">Revolving products: utilization and payment-pattern variables are highly meaningful.</w:t>
      </w:r>
    </w:p>
    <w:p>
      <w:pPr>
        <w:pStyle w:val="Compact"/>
        <w:numPr>
          <w:ilvl w:val="0"/>
          <w:numId w:val="1005"/>
        </w:numPr>
      </w:pPr>
      <w:r>
        <w:t xml:space="preserve">Term loans: installment schedule adherence and term-stage features are more meaningful than utilization-ratio patterns.</w:t>
      </w:r>
    </w:p>
    <w:p>
      <w:pPr>
        <w:pStyle w:val="Compact"/>
        <w:numPr>
          <w:ilvl w:val="0"/>
          <w:numId w:val="1005"/>
        </w:numPr>
      </w:pPr>
      <w:r>
        <w:t xml:space="preserve">Cross-product comparisons should normalize for product mechanics before interpreting drift or performance changes.</w:t>
      </w:r>
    </w:p>
    <w:bookmarkEnd w:id="16"/>
    <w:bookmarkStart w:id="17" w:name="product-specific-field-relevance"/>
    <w:p>
      <w:pPr>
        <w:pStyle w:val="Heading2"/>
      </w:pPr>
      <w:r>
        <w:t xml:space="preserve">Product-Specific Field Relevance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Group</w:t>
            </w:r>
          </w:p>
        </w:tc>
        <w:tc>
          <w:tcPr/>
          <w:p>
            <w:pPr>
              <w:pStyle w:val="Compact"/>
            </w:pPr>
            <w:r>
              <w:t xml:space="preserve">Credit Card</w:t>
            </w:r>
          </w:p>
        </w:tc>
        <w:tc>
          <w:tcPr/>
          <w:p>
            <w:pPr>
              <w:pStyle w:val="Compact"/>
            </w:pPr>
            <w:r>
              <w:t xml:space="preserve">Speedy Cash</w:t>
            </w:r>
          </w:p>
        </w:tc>
        <w:tc>
          <w:tcPr/>
          <w:p>
            <w:pPr>
              <w:pStyle w:val="Compact"/>
            </w:pPr>
            <w:r>
              <w:t xml:space="preserve">Speedy Loan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line and utilization</w:t>
            </w:r>
          </w:p>
        </w:tc>
        <w:tc>
          <w:tcPr/>
          <w:p>
            <w:pPr>
              <w:pStyle w:val="Compact"/>
            </w:pPr>
            <w:r>
              <w:t xml:space="preserve">Meaningful</w:t>
            </w:r>
          </w:p>
        </w:tc>
        <w:tc>
          <w:tcPr/>
          <w:p>
            <w:pPr>
              <w:pStyle w:val="Compact"/>
            </w:pPr>
            <w:r>
              <w:t xml:space="preserve">Meaningful</w:t>
            </w:r>
          </w:p>
        </w:tc>
        <w:tc>
          <w:tcPr/>
          <w:p>
            <w:pPr>
              <w:pStyle w:val="Compact"/>
            </w:pPr>
            <w:r>
              <w:t xml:space="preserve">Not meaningful</w:t>
            </w:r>
          </w:p>
        </w:tc>
        <w:tc>
          <w:tcPr/>
          <w:p>
            <w:pPr>
              <w:pStyle w:val="Compact"/>
            </w:pPr>
            <w:r>
              <w:t xml:space="preserve">Term loans do not revolve against a dynamic 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Installment schedule adherence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Meaningful</w:t>
            </w:r>
          </w:p>
        </w:tc>
        <w:tc>
          <w:tcPr/>
          <w:p>
            <w:pPr>
              <w:pStyle w:val="Compact"/>
            </w:pPr>
            <w:r>
              <w:t xml:space="preserve">Core term-loan repayment behavior indicator.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Revolving payment ratio</w:t>
            </w:r>
          </w:p>
        </w:tc>
        <w:tc>
          <w:tcPr/>
          <w:p>
            <w:pPr>
              <w:pStyle w:val="Compact"/>
            </w:pPr>
            <w:r>
              <w:t xml:space="preserve">Meaningful</w:t>
            </w:r>
          </w:p>
        </w:tc>
        <w:tc>
          <w:tcPr/>
          <w:p>
            <w:pPr>
              <w:pStyle w:val="Compact"/>
            </w:pPr>
            <w:r>
              <w:t xml:space="preserve">Meaningful</w:t>
            </w:r>
          </w:p>
        </w:tc>
        <w:tc>
          <w:tcPr/>
          <w:p>
            <w:pPr>
              <w:pStyle w:val="Compact"/>
            </w:pPr>
            <w:r>
              <w:t xml:space="preserve">Not meaningful</w:t>
            </w:r>
          </w:p>
        </w:tc>
        <w:tc>
          <w:tcPr/>
          <w:p>
            <w:pPr>
              <w:pStyle w:val="Compact"/>
            </w:pPr>
            <w:r>
              <w:t xml:space="preserve">Not applicable to fixed installment design.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Remaining tenor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Meaningful</w:t>
            </w:r>
          </w:p>
        </w:tc>
        <w:tc>
          <w:tcPr/>
          <w:p>
            <w:pPr>
              <w:pStyle w:val="Compact"/>
            </w:pPr>
            <w:r>
              <w:t xml:space="preserve">Strong term-loan context variable.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Delinquency bucket transitions</w:t>
            </w:r>
          </w:p>
        </w:tc>
        <w:tc>
          <w:tcPr/>
          <w:p>
            <w:pPr>
              <w:pStyle w:val="Compact"/>
            </w:pPr>
            <w:r>
              <w:t xml:space="preserve">Meaningful</w:t>
            </w:r>
          </w:p>
        </w:tc>
        <w:tc>
          <w:tcPr/>
          <w:p>
            <w:pPr>
              <w:pStyle w:val="Compact"/>
            </w:pPr>
            <w:r>
              <w:t xml:space="preserve">Meaningful</w:t>
            </w:r>
          </w:p>
        </w:tc>
        <w:tc>
          <w:tcPr/>
          <w:p>
            <w:pPr>
              <w:pStyle w:val="Compact"/>
            </w:pPr>
            <w:r>
              <w:t xml:space="preserve">Meaningful</w:t>
            </w:r>
          </w:p>
        </w:tc>
        <w:tc>
          <w:tcPr/>
          <w:p>
            <w:pPr>
              <w:pStyle w:val="Compact"/>
            </w:pPr>
            <w:r>
              <w:t xml:space="preserve">Used for collections and C Score monitoring.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Bureau feature completeness</w:t>
            </w:r>
          </w:p>
        </w:tc>
        <w:tc>
          <w:tcPr/>
          <w:p>
            <w:pPr>
              <w:pStyle w:val="Compact"/>
            </w:pPr>
            <w:r>
              <w:t xml:space="preserve">Meaningful</w:t>
            </w:r>
          </w:p>
        </w:tc>
        <w:tc>
          <w:tcPr/>
          <w:p>
            <w:pPr>
              <w:pStyle w:val="Compact"/>
            </w:pPr>
            <w:r>
              <w:t xml:space="preserve">Meaningful</w:t>
            </w:r>
          </w:p>
        </w:tc>
        <w:tc>
          <w:tcPr/>
          <w:p>
            <w:pPr>
              <w:pStyle w:val="Compact"/>
            </w:pPr>
            <w:r>
              <w:t xml:space="preserve">Meaningful</w:t>
            </w:r>
          </w:p>
        </w:tc>
        <w:tc>
          <w:tcPr/>
          <w:p>
            <w:pPr>
              <w:pStyle w:val="Compact"/>
            </w:pPr>
            <w:r>
              <w:t xml:space="preserve">Data quality issue affects all products.</w:t>
            </w:r>
          </w:p>
        </w:tc>
      </w:tr>
    </w:tbl>
    <w:bookmarkEnd w:id="17"/>
    <w:bookmarkStart w:id="21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06"/>
        </w:numPr>
      </w:pPr>
      <w:hyperlink r:id="rId18">
        <w:r>
          <w:rPr>
            <w:rStyle w:val="Hyperlink"/>
          </w:rPr>
          <w:t xml:space="preserve">BUSINESS_GLOSSARY.md</w:t>
        </w:r>
      </w:hyperlink>
    </w:p>
    <w:p>
      <w:pPr>
        <w:pStyle w:val="Compact"/>
        <w:numPr>
          <w:ilvl w:val="0"/>
          <w:numId w:val="1006"/>
        </w:numPr>
      </w:pPr>
      <w:hyperlink r:id="rId19">
        <w:r>
          <w:rPr>
            <w:rStyle w:val="Hyperlink"/>
          </w:rPr>
          <w:t xml:space="preserve">../models/MODEL_INVENTORY.md</w:t>
        </w:r>
      </w:hyperlink>
    </w:p>
    <w:p>
      <w:pPr>
        <w:pStyle w:val="Compact"/>
        <w:numPr>
          <w:ilvl w:val="0"/>
          <w:numId w:val="1006"/>
        </w:numPr>
      </w:pPr>
      <w:hyperlink r:id="rId20">
        <w:r>
          <w:rPr>
            <w:rStyle w:val="Hyperlink"/>
          </w:rPr>
          <w:t xml:space="preserve">../models/C_SCORE.md</w:t>
        </w:r>
      </w:hyperlink>
    </w:p>
    <w:bookmarkEnd w:id="21"/>
    <w:bookmarkStart w:id="22" w:name="copilot-usage"/>
    <w:p>
      <w:pPr>
        <w:pStyle w:val="Heading2"/>
      </w:pPr>
      <w:r>
        <w:t xml:space="preserve">Copilot Usage</w:t>
      </w:r>
    </w:p>
    <w:p>
      <w:pPr>
        <w:pStyle w:val="FirstParagraph"/>
      </w:pPr>
      <w:r>
        <w:t xml:space="preserve">Use this file to resolve product mechanics before interpreting signals, building hypotheses, or drafting remediation options.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../models/C_SCORE.md" TargetMode="External" /><Relationship Type="http://schemas.openxmlformats.org/officeDocument/2006/relationships/hyperlink" Id="rId19" Target="../models/MODEL_INVENTORY.md" TargetMode="External" /><Relationship Type="http://schemas.openxmlformats.org/officeDocument/2006/relationships/hyperlink" Id="rId18" Target="BUSINESS_GLOSSA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models/C_SCORE.md" TargetMode="External" /><Relationship Type="http://schemas.openxmlformats.org/officeDocument/2006/relationships/hyperlink" Id="rId19" Target="../models/MODEL_INVENTORY.md" TargetMode="External" /><Relationship Type="http://schemas.openxmlformats.org/officeDocument/2006/relationships/hyperlink" Id="rId18" Target="BUSINESS_GLOSSA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2026-07-14T00:59:49Z</dcterms:created>
  <dcterms:modified xsi:type="dcterms:W3CDTF">2026-07-14T00:59:49Z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