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mmittee-guidelines"/>
    <w:p>
      <w:pPr>
        <w:pStyle w:val="Heading1"/>
      </w:pPr>
      <w:r>
        <w:t xml:space="preserve">Committee Guidelines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Quarterly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standard committee-pack structure and decision expectations for model governance actions.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Applies to Amber and Red escalations and any action requiring human approval.</w:t>
      </w:r>
    </w:p>
    <w:bookmarkEnd w:id="11"/>
    <w:bookmarkStart w:id="12" w:name="committee-pack-structure"/>
    <w:p>
      <w:pPr>
        <w:pStyle w:val="Heading2"/>
      </w:pPr>
      <w:r>
        <w:t xml:space="preserve">Committee Pack Structure</w:t>
      </w:r>
    </w:p>
    <w:p>
      <w:pPr>
        <w:pStyle w:val="Compact"/>
        <w:numPr>
          <w:ilvl w:val="0"/>
          <w:numId w:val="1002"/>
        </w:numPr>
      </w:pPr>
      <w:r>
        <w:t xml:space="preserve">Executive conclusion.</w:t>
      </w:r>
    </w:p>
    <w:p>
      <w:pPr>
        <w:pStyle w:val="Compact"/>
        <w:numPr>
          <w:ilvl w:val="0"/>
          <w:numId w:val="1002"/>
        </w:numPr>
      </w:pPr>
      <w:r>
        <w:t xml:space="preserve">Model status.</w:t>
      </w:r>
    </w:p>
    <w:p>
      <w:pPr>
        <w:pStyle w:val="Compact"/>
        <w:numPr>
          <w:ilvl w:val="0"/>
          <w:numId w:val="1002"/>
        </w:numPr>
      </w:pPr>
      <w:r>
        <w:t xml:space="preserve">Findings.</w:t>
      </w:r>
    </w:p>
    <w:p>
      <w:pPr>
        <w:pStyle w:val="Compact"/>
        <w:numPr>
          <w:ilvl w:val="0"/>
          <w:numId w:val="1002"/>
        </w:numPr>
      </w:pPr>
      <w:r>
        <w:t xml:space="preserve">Root causes.</w:t>
      </w:r>
    </w:p>
    <w:p>
      <w:pPr>
        <w:pStyle w:val="Compact"/>
        <w:numPr>
          <w:ilvl w:val="0"/>
          <w:numId w:val="1002"/>
        </w:numPr>
      </w:pPr>
      <w:r>
        <w:t xml:space="preserve">Evidence summary.</w:t>
      </w:r>
    </w:p>
    <w:p>
      <w:pPr>
        <w:pStyle w:val="Compact"/>
        <w:numPr>
          <w:ilvl w:val="0"/>
          <w:numId w:val="1002"/>
        </w:numPr>
      </w:pPr>
      <w:r>
        <w:t xml:space="preserve">Recommendation.</w:t>
      </w:r>
    </w:p>
    <w:p>
      <w:pPr>
        <w:pStyle w:val="Compact"/>
        <w:numPr>
          <w:ilvl w:val="0"/>
          <w:numId w:val="1002"/>
        </w:numPr>
      </w:pPr>
      <w:r>
        <w:t xml:space="preserve">Decision requested.</w:t>
      </w:r>
    </w:p>
    <w:p>
      <w:pPr>
        <w:pStyle w:val="Compact"/>
        <w:numPr>
          <w:ilvl w:val="0"/>
          <w:numId w:val="1002"/>
        </w:numPr>
      </w:pPr>
      <w:r>
        <w:t xml:space="preserve">Action owner.</w:t>
      </w:r>
    </w:p>
    <w:p>
      <w:pPr>
        <w:pStyle w:val="Compact"/>
        <w:numPr>
          <w:ilvl w:val="0"/>
          <w:numId w:val="1002"/>
        </w:numPr>
      </w:pPr>
      <w:r>
        <w:t xml:space="preserve">Due date.</w:t>
      </w:r>
    </w:p>
    <w:bookmarkEnd w:id="12"/>
    <w:bookmarkStart w:id="13" w:name="minimum-quality-rules"/>
    <w:p>
      <w:pPr>
        <w:pStyle w:val="Heading2"/>
      </w:pPr>
      <w:r>
        <w:t xml:space="preserve">Minimum Quality Rules</w:t>
      </w:r>
    </w:p>
    <w:p>
      <w:pPr>
        <w:pStyle w:val="Compact"/>
        <w:numPr>
          <w:ilvl w:val="0"/>
          <w:numId w:val="1003"/>
        </w:numPr>
      </w:pPr>
      <w:r>
        <w:t xml:space="preserve">Executive conclusion must state severity and decision ask in plain language.</w:t>
      </w:r>
    </w:p>
    <w:p>
      <w:pPr>
        <w:pStyle w:val="Compact"/>
        <w:numPr>
          <w:ilvl w:val="0"/>
          <w:numId w:val="1003"/>
        </w:numPr>
      </w:pPr>
      <w:r>
        <w:t xml:space="preserve">Findings must be evidence-backed and policy-referenced.</w:t>
      </w:r>
    </w:p>
    <w:p>
      <w:pPr>
        <w:pStyle w:val="Compact"/>
        <w:numPr>
          <w:ilvl w:val="0"/>
          <w:numId w:val="1003"/>
        </w:numPr>
      </w:pPr>
      <w:r>
        <w:t xml:space="preserve">Recommendation must include alternatives considered.</w:t>
      </w:r>
    </w:p>
    <w:p>
      <w:pPr>
        <w:pStyle w:val="Compact"/>
        <w:numPr>
          <w:ilvl w:val="0"/>
          <w:numId w:val="1003"/>
        </w:numPr>
      </w:pPr>
      <w:r>
        <w:t xml:space="preserve">Decision log must include rationale and any modifications.</w:t>
      </w:r>
    </w:p>
    <w:bookmarkEnd w:id="13"/>
    <w:bookmarkStart w:id="14" w:name="exclusions-from-executive-reporting"/>
    <w:p>
      <w:pPr>
        <w:pStyle w:val="Heading2"/>
      </w:pPr>
      <w:r>
        <w:t xml:space="preserve">Exclusions From Executive Reporting</w:t>
      </w:r>
    </w:p>
    <w:p>
      <w:pPr>
        <w:pStyle w:val="Compact"/>
        <w:numPr>
          <w:ilvl w:val="0"/>
          <w:numId w:val="1004"/>
        </w:numPr>
      </w:pPr>
      <w:r>
        <w:t xml:space="preserve">Raw row-level extracts.</w:t>
      </w:r>
    </w:p>
    <w:p>
      <w:pPr>
        <w:pStyle w:val="Compact"/>
        <w:numPr>
          <w:ilvl w:val="0"/>
          <w:numId w:val="1004"/>
        </w:numPr>
      </w:pPr>
      <w:r>
        <w:t xml:space="preserve">Sensitive or confidential identifiers.</w:t>
      </w:r>
    </w:p>
    <w:p>
      <w:pPr>
        <w:pStyle w:val="Compact"/>
        <w:numPr>
          <w:ilvl w:val="0"/>
          <w:numId w:val="1004"/>
        </w:numPr>
      </w:pPr>
      <w:r>
        <w:t xml:space="preserve">Unvalidated intermediate calculations.</w:t>
      </w:r>
    </w:p>
    <w:p>
      <w:pPr>
        <w:pStyle w:val="Compact"/>
        <w:numPr>
          <w:ilvl w:val="0"/>
          <w:numId w:val="1004"/>
        </w:numPr>
      </w:pPr>
      <w:r>
        <w:t xml:space="preserve">Internal debate notes not tied to final evidence-backed conclusion.</w:t>
      </w:r>
    </w:p>
    <w:bookmarkEnd w:id="14"/>
    <w:bookmarkStart w:id="18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05"/>
        </w:numPr>
      </w:pPr>
      <w:hyperlink r:id="rId15">
        <w:r>
          <w:rPr>
            <w:rStyle w:val="Hyperlink"/>
          </w:rPr>
          <w:t xml:space="preserve">EVIDENCE_GUIDELINES.md</w:t>
        </w:r>
      </w:hyperlink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MODEL_RISK_STANDARD.md</w:t>
        </w:r>
      </w:hyperlink>
    </w:p>
    <w:p>
      <w:pPr>
        <w:pStyle w:val="Compact"/>
        <w:numPr>
          <w:ilvl w:val="0"/>
          <w:numId w:val="1005"/>
        </w:numPr>
      </w:pPr>
      <w:hyperlink r:id="rId17">
        <w:r>
          <w:rPr>
            <w:rStyle w:val="Hyperlink"/>
          </w:rPr>
          <w:t xml:space="preserve">../policies/HUMAN_APPROVAL_POLICY.md</w:t>
        </w:r>
      </w:hyperlink>
    </w:p>
    <w:bookmarkEnd w:id="18"/>
    <w:bookmarkStart w:id="19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file to assemble governance committee outputs in a consistent format and to filter out inappropriate detail from executive summaries.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policies/HUMAN_APPROVAL_POLICY.md" TargetMode="External" /><Relationship Type="http://schemas.openxmlformats.org/officeDocument/2006/relationships/hyperlink" Id="rId15" Target="EVIDENCE_GUIDELINES.md" TargetMode="External" /><Relationship Type="http://schemas.openxmlformats.org/officeDocument/2006/relationships/hyperlink" Id="rId16" Target="MODEL_RISK_STANDAR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policies/HUMAN_APPROVAL_POLICY.md" TargetMode="External" /><Relationship Type="http://schemas.openxmlformats.org/officeDocument/2006/relationships/hyperlink" Id="rId15" Target="EVIDENCE_GUIDELINES.md" TargetMode="External" /><Relationship Type="http://schemas.openxmlformats.org/officeDocument/2006/relationships/hyperlink" Id="rId16" Target="MODEL_RISK_STANDAR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2026-07-14T00:59:49Z</dcterms:created>
  <dcterms:modified xsi:type="dcterms:W3CDTF">2026-07-14T00:59:49Z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