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vidence-guidelines"/>
    <w:p>
      <w:pPr>
        <w:pStyle w:val="Heading1"/>
      </w:pPr>
      <w:r>
        <w:t xml:space="preserve">Evidence Guidelines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acceptable evidence standards for monitoring, investigation, and governance outputs.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all evidence cited in AI Assurance findings, recommendations, and approval packs.</w:t>
      </w:r>
    </w:p>
    <w:bookmarkEnd w:id="11"/>
    <w:bookmarkStart w:id="12" w:name="acceptable-evidence"/>
    <w:p>
      <w:pPr>
        <w:pStyle w:val="Heading2"/>
      </w:pPr>
      <w:r>
        <w:t xml:space="preserve">Acceptable Evidence</w:t>
      </w:r>
    </w:p>
    <w:p>
      <w:pPr>
        <w:pStyle w:val="Compact"/>
        <w:numPr>
          <w:ilvl w:val="0"/>
          <w:numId w:val="1002"/>
        </w:numPr>
      </w:pPr>
      <w:r>
        <w:t xml:space="preserve">Deterministic metric extracts from approved computation workflows.</w:t>
      </w:r>
    </w:p>
    <w:p>
      <w:pPr>
        <w:pStyle w:val="Compact"/>
        <w:numPr>
          <w:ilvl w:val="0"/>
          <w:numId w:val="1002"/>
        </w:numPr>
      </w:pPr>
      <w:r>
        <w:t xml:space="preserve">Versioned policy outputs from policy-as-code checks.</w:t>
      </w:r>
    </w:p>
    <w:p>
      <w:pPr>
        <w:pStyle w:val="Compact"/>
        <w:numPr>
          <w:ilvl w:val="0"/>
          <w:numId w:val="1002"/>
        </w:numPr>
      </w:pPr>
      <w:r>
        <w:t xml:space="preserve">Data quality run logs and schema validation results.</w:t>
      </w:r>
    </w:p>
    <w:p>
      <w:pPr>
        <w:pStyle w:val="Compact"/>
        <w:numPr>
          <w:ilvl w:val="0"/>
          <w:numId w:val="1002"/>
        </w:numPr>
      </w:pPr>
      <w:r>
        <w:t xml:space="preserve">Controlled documents with traceable version and timestamp.</w:t>
      </w:r>
    </w:p>
    <w:bookmarkEnd w:id="12"/>
    <w:bookmarkStart w:id="13" w:name="required-evidence-fields"/>
    <w:p>
      <w:pPr>
        <w:pStyle w:val="Heading2"/>
      </w:pPr>
      <w:r>
        <w:t xml:space="preserve">Required Evidence Fields</w:t>
      </w:r>
    </w:p>
    <w:p>
      <w:pPr>
        <w:pStyle w:val="Compact"/>
        <w:numPr>
          <w:ilvl w:val="0"/>
          <w:numId w:val="1003"/>
        </w:numPr>
      </w:pPr>
      <w:r>
        <w:t xml:space="preserve">Evidence ID.</w:t>
      </w:r>
    </w:p>
    <w:p>
      <w:pPr>
        <w:pStyle w:val="Compact"/>
        <w:numPr>
          <w:ilvl w:val="0"/>
          <w:numId w:val="1003"/>
        </w:numPr>
      </w:pPr>
      <w:r>
        <w:t xml:space="preserve">Source.</w:t>
      </w:r>
    </w:p>
    <w:p>
      <w:pPr>
        <w:pStyle w:val="Compact"/>
        <w:numPr>
          <w:ilvl w:val="0"/>
          <w:numId w:val="1003"/>
        </w:numPr>
      </w:pPr>
      <w:r>
        <w:t xml:space="preserve">Table or document reference.</w:t>
      </w:r>
    </w:p>
    <w:p>
      <w:pPr>
        <w:pStyle w:val="Compact"/>
        <w:numPr>
          <w:ilvl w:val="0"/>
          <w:numId w:val="1003"/>
        </w:numPr>
      </w:pPr>
      <w:r>
        <w:t xml:space="preserve">Timestamp.</w:t>
      </w:r>
    </w:p>
    <w:p>
      <w:pPr>
        <w:pStyle w:val="Compact"/>
        <w:numPr>
          <w:ilvl w:val="0"/>
          <w:numId w:val="1003"/>
        </w:numPr>
      </w:pPr>
      <w:r>
        <w:t xml:space="preserve">Tool call.</w:t>
      </w:r>
    </w:p>
    <w:p>
      <w:pPr>
        <w:pStyle w:val="Compact"/>
        <w:numPr>
          <w:ilvl w:val="0"/>
          <w:numId w:val="1003"/>
        </w:numPr>
      </w:pPr>
      <w:r>
        <w:t xml:space="preserve">Metric.</w:t>
      </w:r>
    </w:p>
    <w:p>
      <w:pPr>
        <w:pStyle w:val="Compact"/>
        <w:numPr>
          <w:ilvl w:val="0"/>
          <w:numId w:val="1003"/>
        </w:numPr>
      </w:pPr>
      <w:r>
        <w:t xml:space="preserve">Policy version.</w:t>
      </w:r>
    </w:p>
    <w:p>
      <w:pPr>
        <w:pStyle w:val="Compact"/>
        <w:numPr>
          <w:ilvl w:val="0"/>
          <w:numId w:val="1003"/>
        </w:numPr>
      </w:pPr>
      <w:r>
        <w:t xml:space="preserve">Supported conclusion.</w:t>
      </w:r>
    </w:p>
    <w:bookmarkEnd w:id="13"/>
    <w:bookmarkStart w:id="14" w:name="contradictory-evidence-rules"/>
    <w:p>
      <w:pPr>
        <w:pStyle w:val="Heading2"/>
      </w:pPr>
      <w:r>
        <w:t xml:space="preserve">Contradictory Evidence Rules</w:t>
      </w:r>
    </w:p>
    <w:p>
      <w:pPr>
        <w:pStyle w:val="Compact"/>
        <w:numPr>
          <w:ilvl w:val="0"/>
          <w:numId w:val="1004"/>
        </w:numPr>
      </w:pPr>
      <w:r>
        <w:t xml:space="preserve">Contradictory evidence must be logged, not omitted.</w:t>
      </w:r>
    </w:p>
    <w:p>
      <w:pPr>
        <w:pStyle w:val="Compact"/>
        <w:numPr>
          <w:ilvl w:val="0"/>
          <w:numId w:val="1004"/>
        </w:numPr>
      </w:pPr>
      <w:r>
        <w:t xml:space="preserve">Findings must state whether contradiction is resolved, unresolved, or partially resolved.</w:t>
      </w:r>
    </w:p>
    <w:p>
      <w:pPr>
        <w:pStyle w:val="Compact"/>
        <w:numPr>
          <w:ilvl w:val="0"/>
          <w:numId w:val="1004"/>
        </w:numPr>
      </w:pPr>
      <w:r>
        <w:t xml:space="preserve">Confidence level should be declared as High, Medium, or Low based on evidence completeness and consistency.</w:t>
      </w:r>
    </w:p>
    <w:bookmarkEnd w:id="14"/>
    <w:bookmarkStart w:id="15" w:name="prohibited-claims"/>
    <w:p>
      <w:pPr>
        <w:pStyle w:val="Heading2"/>
      </w:pPr>
      <w:r>
        <w:t xml:space="preserve">Prohibited Claims</w:t>
      </w:r>
    </w:p>
    <w:p>
      <w:pPr>
        <w:pStyle w:val="Compact"/>
        <w:numPr>
          <w:ilvl w:val="0"/>
          <w:numId w:val="1005"/>
        </w:numPr>
      </w:pPr>
      <w:r>
        <w:t xml:space="preserve">Unsupported numeric statements.</w:t>
      </w:r>
    </w:p>
    <w:p>
      <w:pPr>
        <w:pStyle w:val="Compact"/>
        <w:numPr>
          <w:ilvl w:val="0"/>
          <w:numId w:val="1005"/>
        </w:numPr>
      </w:pPr>
      <w:r>
        <w:t xml:space="preserve">Unsupported policy interpretations.</w:t>
      </w:r>
    </w:p>
    <w:p>
      <w:pPr>
        <w:pStyle w:val="Compact"/>
        <w:numPr>
          <w:ilvl w:val="0"/>
          <w:numId w:val="1005"/>
        </w:numPr>
      </w:pPr>
      <w:r>
        <w:t xml:space="preserve">Conclusions without traceable evidence ID linkage.</w:t>
      </w:r>
    </w:p>
    <w:bookmarkEnd w:id="15"/>
    <w:bookmarkStart w:id="16" w:name="evidence-ledger"/>
    <w:p>
      <w:pPr>
        <w:pStyle w:val="Heading2"/>
      </w:pPr>
      <w:r>
        <w:t xml:space="preserve">Evidence Ledger</w:t>
      </w:r>
    </w:p>
    <w:p>
      <w:pPr>
        <w:pStyle w:val="FirstParagraph"/>
      </w:pPr>
      <w:r>
        <w:t xml:space="preserve">The evidence ledger is the structured record joining evidence IDs, source lineage, timestamps, tool calls, metric outputs, and conclusion mapping used in assurance review.</w:t>
      </w:r>
    </w:p>
    <w:bookmarkEnd w:id="16"/>
    <w:bookmarkStart w:id="20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6"/>
        </w:numPr>
      </w:pPr>
      <w:hyperlink r:id="rId17">
        <w:r>
          <w:rPr>
            <w:rStyle w:val="Hyperlink"/>
          </w:rPr>
          <w:t xml:space="preserve">INVESTIGATION_GUIDELINES.md</w:t>
        </w:r>
      </w:hyperlink>
    </w:p>
    <w:p>
      <w:pPr>
        <w:pStyle w:val="Compact"/>
        <w:numPr>
          <w:ilvl w:val="0"/>
          <w:numId w:val="1006"/>
        </w:numPr>
      </w:pPr>
      <w:hyperlink r:id="rId18">
        <w:r>
          <w:rPr>
            <w:rStyle w:val="Hyperlink"/>
          </w:rPr>
          <w:t xml:space="preserve">COMMITTEE_GUIDELINES.md</w:t>
        </w:r>
      </w:hyperlink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../policies/MODEL_MONITORING_POLICY.md</w:t>
        </w:r>
      </w:hyperlink>
    </w:p>
    <w:bookmarkEnd w:id="20"/>
    <w:bookmarkStart w:id="21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to validate whether generated findings are evidence-backed and to enforce complete evidence ledger fields in outputs.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policies/MODEL_MONITORING_POLICY.md" TargetMode="External" /><Relationship Type="http://schemas.openxmlformats.org/officeDocument/2006/relationships/hyperlink" Id="rId18" Target="COMMITTEE_GUIDELINES.md" TargetMode="External" /><Relationship Type="http://schemas.openxmlformats.org/officeDocument/2006/relationships/hyperlink" Id="rId17" Target="INVESTIGATION_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policies/MODEL_MONITORING_POLICY.md" TargetMode="External" /><Relationship Type="http://schemas.openxmlformats.org/officeDocument/2006/relationships/hyperlink" Id="rId18" Target="COMMITTEE_GUIDELINES.md" TargetMode="External" /><Relationship Type="http://schemas.openxmlformats.org/officeDocument/2006/relationships/hyperlink" Id="rId17" Target="INVESTIGATION_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2026-07-14T00:59:49Z</dcterms:created>
  <dcterms:modified xsi:type="dcterms:W3CDTF">2026-07-14T00:59:49Z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