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investigation-guidelines"/>
    <w:p>
      <w:pPr>
        <w:pStyle w:val="Heading1"/>
      </w:pPr>
      <w:r>
        <w:t xml:space="preserve">Investigation Guidelines</w:t>
      </w:r>
    </w:p>
    <w:bookmarkStart w:id="9" w:name="metadata"/>
    <w:p>
      <w:pPr>
        <w:pStyle w:val="Heading2"/>
      </w:pPr>
      <w:r>
        <w:t xml:space="preserve">Metadata</w:t>
      </w:r>
    </w:p>
    <w:p>
      <w:pPr>
        <w:pStyle w:val="Compact"/>
        <w:numPr>
          <w:ilvl w:val="0"/>
          <w:numId w:val="1001"/>
        </w:numPr>
      </w:pPr>
      <w:r>
        <w:t xml:space="preserve">Document Owner: AI Assurance Product and Governance Team</w:t>
      </w:r>
    </w:p>
    <w:p>
      <w:pPr>
        <w:pStyle w:val="Compact"/>
        <w:numPr>
          <w:ilvl w:val="0"/>
          <w:numId w:val="1001"/>
        </w:numPr>
      </w:pPr>
      <w:r>
        <w:t xml:space="preserve">Version: 1.0</w:t>
      </w:r>
    </w:p>
    <w:p>
      <w:pPr>
        <w:pStyle w:val="Compact"/>
        <w:numPr>
          <w:ilvl w:val="0"/>
          <w:numId w:val="1001"/>
        </w:numPr>
      </w:pPr>
      <w:r>
        <w:t xml:space="preserve">Effective Date: July 2026</w:t>
      </w:r>
    </w:p>
    <w:p>
      <w:pPr>
        <w:pStyle w:val="Compact"/>
        <w:numPr>
          <w:ilvl w:val="0"/>
          <w:numId w:val="1001"/>
        </w:numPr>
      </w:pPr>
      <w:r>
        <w:t xml:space="preserve">Review Frequency: Quarterly</w:t>
      </w:r>
    </w:p>
    <w:p>
      <w:pPr>
        <w:pStyle w:val="Compact"/>
        <w:numPr>
          <w:ilvl w:val="0"/>
          <w:numId w:val="1001"/>
        </w:numPr>
      </w:pPr>
      <w:r>
        <w:t xml:space="preserve">Status: Draft for Training Demonstration</w: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a consistent evidence-led investigation workflow for monitoring signals.</w:t>
      </w:r>
    </w:p>
    <w:bookmarkEnd w:id="10"/>
    <w:bookmarkStart w:id="1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Applies to all model families, with primary runtime focus on June 2026 CC Behaviour Score investigation.</w:t>
      </w:r>
    </w:p>
    <w:bookmarkEnd w:id="11"/>
    <w:bookmarkStart w:id="12" w:name="standard-workflow"/>
    <w:p>
      <w:pPr>
        <w:pStyle w:val="Heading2"/>
      </w:pPr>
      <w:r>
        <w:t xml:space="preserve">Standard Workflow</w:t>
      </w:r>
    </w:p>
    <w:p>
      <w:pPr>
        <w:pStyle w:val="FirstParagraph"/>
      </w:pPr>
      <w:r>
        <w:t xml:space="preserve">trigger -&gt; scope -&gt; evidence collection -&gt; hypotheses -&gt; testing -&gt; counter-evidence -&gt; finding -&gt; root cause -&gt; recommendation -&gt; assurance review -&gt; human decision</w:t>
      </w:r>
    </w:p>
    <w:bookmarkEnd w:id="12"/>
    <w:bookmarkStart w:id="13" w:name="workflow-controls"/>
    <w:p>
      <w:pPr>
        <w:pStyle w:val="Heading2"/>
      </w:pPr>
      <w:r>
        <w:t xml:space="preserve">Workflow Controls</w:t>
      </w:r>
    </w:p>
    <w:p>
      <w:pPr>
        <w:pStyle w:val="Compact"/>
        <w:numPr>
          <w:ilvl w:val="0"/>
          <w:numId w:val="1002"/>
        </w:numPr>
      </w:pPr>
      <w:r>
        <w:t xml:space="preserve">Keep facts separate from inference.</w:t>
      </w:r>
    </w:p>
    <w:p>
      <w:pPr>
        <w:pStyle w:val="Compact"/>
        <w:numPr>
          <w:ilvl w:val="0"/>
          <w:numId w:val="1002"/>
        </w:numPr>
      </w:pPr>
      <w:r>
        <w:t xml:space="preserve">Track each claim to evidence ID.</w:t>
      </w:r>
    </w:p>
    <w:p>
      <w:pPr>
        <w:pStyle w:val="Compact"/>
        <w:numPr>
          <w:ilvl w:val="0"/>
          <w:numId w:val="1002"/>
        </w:numPr>
      </w:pPr>
      <w:r>
        <w:t xml:space="preserve">Evaluate contradictory evidence before final finding.</w:t>
      </w:r>
    </w:p>
    <w:p>
      <w:pPr>
        <w:pStyle w:val="Compact"/>
        <w:numPr>
          <w:ilvl w:val="0"/>
          <w:numId w:val="1002"/>
        </w:numPr>
      </w:pPr>
      <w:r>
        <w:t xml:space="preserve">Use policy and threshold references explicitly.</w:t>
      </w:r>
    </w:p>
    <w:bookmarkEnd w:id="13"/>
    <w:bookmarkStart w:id="21" w:name="Xaa4f645c074289bc9d6bfc58fd800f3ae9686fe"/>
    <w:p>
      <w:pPr>
        <w:pStyle w:val="Heading2"/>
      </w:pPr>
      <w:r>
        <w:t xml:space="preserve">Worked Scenario: June 2026 CC Behaviour Score</w:t>
      </w:r>
    </w:p>
    <w:bookmarkStart w:id="14" w:name="trigger"/>
    <w:p>
      <w:pPr>
        <w:pStyle w:val="Heading3"/>
      </w:pPr>
      <w:r>
        <w:t xml:space="preserve">Trigger</w:t>
      </w:r>
    </w:p>
    <w:p>
      <w:pPr>
        <w:pStyle w:val="FirstParagraph"/>
      </w:pPr>
      <w:r>
        <w:t xml:space="preserve">Monthly monitoring raised stability and calibration concern for CC Behaviour Score.</w:t>
      </w:r>
    </w:p>
    <w:bookmarkEnd w:id="14"/>
    <w:bookmarkStart w:id="15" w:name="scope-1"/>
    <w:p>
      <w:pPr>
        <w:pStyle w:val="Heading3"/>
      </w:pPr>
      <w:r>
        <w:t xml:space="preserve">Scope</w:t>
      </w:r>
    </w:p>
    <w:p>
      <w:pPr>
        <w:pStyle w:val="Compact"/>
        <w:numPr>
          <w:ilvl w:val="0"/>
          <w:numId w:val="1003"/>
        </w:numPr>
      </w:pPr>
      <w:r>
        <w:t xml:space="preserve">Product: Credit Card.</w:t>
      </w:r>
    </w:p>
    <w:p>
      <w:pPr>
        <w:pStyle w:val="Compact"/>
        <w:numPr>
          <w:ilvl w:val="0"/>
          <w:numId w:val="1003"/>
        </w:numPr>
      </w:pPr>
      <w:r>
        <w:t xml:space="preserve">Model: B Score.</w:t>
      </w:r>
    </w:p>
    <w:p>
      <w:pPr>
        <w:pStyle w:val="Compact"/>
        <w:numPr>
          <w:ilvl w:val="0"/>
          <w:numId w:val="1003"/>
        </w:numPr>
      </w:pPr>
      <w:r>
        <w:t xml:space="preserve">Window: June 2026 cycle.</w:t>
      </w:r>
    </w:p>
    <w:bookmarkEnd w:id="15"/>
    <w:bookmarkStart w:id="16" w:name="evidence-collection"/>
    <w:p>
      <w:pPr>
        <w:pStyle w:val="Heading3"/>
      </w:pPr>
      <w:r>
        <w:t xml:space="preserve">Evidence Collection</w:t>
      </w:r>
    </w:p>
    <w:p>
      <w:pPr>
        <w:pStyle w:val="Compact"/>
        <w:numPr>
          <w:ilvl w:val="0"/>
          <w:numId w:val="1004"/>
        </w:numPr>
      </w:pPr>
      <w:r>
        <w:t xml:space="preserve">Population mix by thin-file status.</w:t>
      </w:r>
    </w:p>
    <w:p>
      <w:pPr>
        <w:pStyle w:val="Compact"/>
        <w:numPr>
          <w:ilvl w:val="0"/>
          <w:numId w:val="1004"/>
        </w:numPr>
      </w:pPr>
      <w:r>
        <w:t xml:space="preserve">Bureau feature missingness trend.</w:t>
      </w:r>
    </w:p>
    <w:p>
      <w:pPr>
        <w:pStyle w:val="Compact"/>
        <w:numPr>
          <w:ilvl w:val="0"/>
          <w:numId w:val="1004"/>
        </w:numPr>
      </w:pPr>
      <w:r>
        <w:t xml:space="preserve">Policy cohort flags before and after policy change.</w:t>
      </w:r>
    </w:p>
    <w:p>
      <w:pPr>
        <w:pStyle w:val="Compact"/>
        <w:numPr>
          <w:ilvl w:val="0"/>
          <w:numId w:val="1004"/>
        </w:numPr>
      </w:pPr>
      <w:r>
        <w:t xml:space="preserve">Deterministic metrics for PSI, Gini, and O/E.</w:t>
      </w:r>
    </w:p>
    <w:bookmarkEnd w:id="16"/>
    <w:bookmarkStart w:id="17" w:name="hypotheses"/>
    <w:p>
      <w:pPr>
        <w:pStyle w:val="Heading3"/>
      </w:pPr>
      <w:r>
        <w:t xml:space="preserve">Hypotheses</w:t>
      </w:r>
    </w:p>
    <w:p>
      <w:pPr>
        <w:pStyle w:val="Compact"/>
        <w:numPr>
          <w:ilvl w:val="0"/>
          <w:numId w:val="1005"/>
        </w:numPr>
      </w:pPr>
      <w:r>
        <w:t xml:space="preserve">H1: Thin-file campaign mix is the primary cause.</w:t>
      </w:r>
    </w:p>
    <w:p>
      <w:pPr>
        <w:pStyle w:val="Compact"/>
        <w:numPr>
          <w:ilvl w:val="0"/>
          <w:numId w:val="1005"/>
        </w:numPr>
      </w:pPr>
      <w:r>
        <w:t xml:space="preserve">H2: Bureau missingness increase is a contributing factor.</w:t>
      </w:r>
    </w:p>
    <w:p>
      <w:pPr>
        <w:pStyle w:val="Compact"/>
        <w:numPr>
          <w:ilvl w:val="0"/>
          <w:numId w:val="1005"/>
        </w:numPr>
      </w:pPr>
      <w:r>
        <w:t xml:space="preserve">H3: Policy change altered scored population and amplified metrics.</w:t>
      </w:r>
    </w:p>
    <w:bookmarkEnd w:id="17"/>
    <w:bookmarkStart w:id="18" w:name="counter-evidence"/>
    <w:p>
      <w:pPr>
        <w:pStyle w:val="Heading3"/>
      </w:pPr>
      <w:r>
        <w:t xml:space="preserve">Counter-Evidence</w:t>
      </w:r>
    </w:p>
    <w:p>
      <w:pPr>
        <w:pStyle w:val="Compact"/>
        <w:numPr>
          <w:ilvl w:val="0"/>
          <w:numId w:val="1006"/>
        </w:numPr>
      </w:pPr>
      <w:r>
        <w:t xml:space="preserve">Check whether non-thin-file segments showed independent deterioration.</w:t>
      </w:r>
    </w:p>
    <w:p>
      <w:pPr>
        <w:pStyle w:val="Compact"/>
        <w:numPr>
          <w:ilvl w:val="0"/>
          <w:numId w:val="1006"/>
        </w:numPr>
      </w:pPr>
      <w:r>
        <w:t xml:space="preserve">Check whether missingness correction simulations reduce instability.</w:t>
      </w:r>
    </w:p>
    <w:p>
      <w:pPr>
        <w:pStyle w:val="Compact"/>
        <w:numPr>
          <w:ilvl w:val="0"/>
          <w:numId w:val="1006"/>
        </w:numPr>
      </w:pPr>
      <w:r>
        <w:t xml:space="preserve">Check whether policy cohort normalization narrows observed shift.</w:t>
      </w:r>
    </w:p>
    <w:bookmarkEnd w:id="18"/>
    <w:bookmarkStart w:id="19" w:name="investigation-outcome-framing"/>
    <w:p>
      <w:pPr>
        <w:pStyle w:val="Heading3"/>
      </w:pPr>
      <w:r>
        <w:t xml:space="preserve">Investigation Outcome Framing</w:t>
      </w:r>
    </w:p>
    <w:p>
      <w:pPr>
        <w:pStyle w:val="Compact"/>
        <w:numPr>
          <w:ilvl w:val="0"/>
          <w:numId w:val="1007"/>
        </w:numPr>
      </w:pPr>
      <w:r>
        <w:t xml:space="preserve">Primary cause: higher thin-file mix after campaign.</w:t>
      </w:r>
    </w:p>
    <w:p>
      <w:pPr>
        <w:pStyle w:val="Compact"/>
        <w:numPr>
          <w:ilvl w:val="0"/>
          <w:numId w:val="1007"/>
        </w:numPr>
      </w:pPr>
      <w:r>
        <w:t xml:space="preserve">Contributing factor: increased bureau feature missingness from upstream issue.</w:t>
      </w:r>
    </w:p>
    <w:p>
      <w:pPr>
        <w:pStyle w:val="Compact"/>
        <w:numPr>
          <w:ilvl w:val="0"/>
          <w:numId w:val="1007"/>
        </w:numPr>
      </w:pPr>
      <w:r>
        <w:t xml:space="preserve">Unrelated signal: isolated non-material segment volatility with no persistent effect.</w:t>
      </w:r>
    </w:p>
    <w:bookmarkEnd w:id="19"/>
    <w:bookmarkStart w:id="20" w:name="recommendation-pattern"/>
    <w:p>
      <w:pPr>
        <w:pStyle w:val="Heading3"/>
      </w:pPr>
      <w:r>
        <w:t xml:space="preserve">Recommendation Pattern</w:t>
      </w:r>
    </w:p>
    <w:p>
      <w:pPr>
        <w:pStyle w:val="Compact"/>
        <w:numPr>
          <w:ilvl w:val="0"/>
          <w:numId w:val="1008"/>
        </w:numPr>
      </w:pPr>
      <w:r>
        <w:t xml:space="preserve">Data remediation and enhanced monitoring first.</w:t>
      </w:r>
    </w:p>
    <w:p>
      <w:pPr>
        <w:pStyle w:val="Compact"/>
        <w:numPr>
          <w:ilvl w:val="0"/>
          <w:numId w:val="1008"/>
        </w:numPr>
      </w:pPr>
      <w:r>
        <w:t xml:space="preserve">Escalate for human approval if impact remains material after correction.</w:t>
      </w:r>
    </w:p>
    <w:bookmarkEnd w:id="20"/>
    <w:bookmarkEnd w:id="21"/>
    <w:bookmarkStart w:id="25" w:name="related-documents"/>
    <w:p>
      <w:pPr>
        <w:pStyle w:val="Heading2"/>
      </w:pPr>
      <w:r>
        <w:t xml:space="preserve">Related Documents</w:t>
      </w:r>
    </w:p>
    <w:p>
      <w:pPr>
        <w:pStyle w:val="Compact"/>
        <w:numPr>
          <w:ilvl w:val="0"/>
          <w:numId w:val="1009"/>
        </w:numPr>
      </w:pPr>
      <w:hyperlink r:id="rId22">
        <w:r>
          <w:rPr>
            <w:rStyle w:val="Hyperlink"/>
          </w:rPr>
          <w:t xml:space="preserve">EVIDENCE_GUIDELINES.md</w:t>
        </w:r>
      </w:hyperlink>
    </w:p>
    <w:p>
      <w:pPr>
        <w:pStyle w:val="Compact"/>
        <w:numPr>
          <w:ilvl w:val="0"/>
          <w:numId w:val="1009"/>
        </w:numPr>
      </w:pPr>
      <w:hyperlink r:id="rId23">
        <w:r>
          <w:rPr>
            <w:rStyle w:val="Hyperlink"/>
          </w:rPr>
          <w:t xml:space="preserve">../models/B_SCORE.md</w:t>
        </w:r>
      </w:hyperlink>
    </w:p>
    <w:p>
      <w:pPr>
        <w:pStyle w:val="Compact"/>
        <w:numPr>
          <w:ilvl w:val="0"/>
          <w:numId w:val="1009"/>
        </w:numPr>
      </w:pPr>
      <w:hyperlink r:id="rId24">
        <w:r>
          <w:rPr>
            <w:rStyle w:val="Hyperlink"/>
          </w:rPr>
          <w:t xml:space="preserve">../policies/REMEDIATION_PLAYBOOK.md</w:t>
        </w:r>
      </w:hyperlink>
    </w:p>
    <w:bookmarkEnd w:id="25"/>
    <w:bookmarkStart w:id="26" w:name="copilot-usage"/>
    <w:p>
      <w:pPr>
        <w:pStyle w:val="Heading2"/>
      </w:pPr>
      <w:r>
        <w:t xml:space="preserve">Copilot Usage</w:t>
      </w:r>
    </w:p>
    <w:p>
      <w:pPr>
        <w:pStyle w:val="FirstParagraph"/>
      </w:pPr>
      <w:r>
        <w:t xml:space="preserve">Use this file to build investigation narratives in the required order and to enforce primary cause, contributing factor, and unrelated signal separation.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../models/B_SCORE.md" TargetMode="External" /><Relationship Type="http://schemas.openxmlformats.org/officeDocument/2006/relationships/hyperlink" Id="rId24" Target="../policies/REMEDIATION_PLAYBOOK.md" TargetMode="External" /><Relationship Type="http://schemas.openxmlformats.org/officeDocument/2006/relationships/hyperlink" Id="rId22" Target="EVIDENCE_GUIDELIN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models/B_SCORE.md" TargetMode="External" /><Relationship Type="http://schemas.openxmlformats.org/officeDocument/2006/relationships/hyperlink" Id="rId24" Target="../policies/REMEDIATION_PLAYBOOK.md" TargetMode="External" /><Relationship Type="http://schemas.openxmlformats.org/officeDocument/2006/relationships/hyperlink" Id="rId22" Target="EVIDENCE_GUIDELIN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2026-07-14T00:59:49Z</dcterms:created>
  <dcterms:modified xsi:type="dcterms:W3CDTF">2026-07-14T00:59:49Z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