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odel-risk-standard"/>
    <w:p>
      <w:pPr>
        <w:pStyle w:val="Heading1"/>
      </w:pPr>
      <w:r>
        <w:t xml:space="preserve">Model Risk Standard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Annual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practical internal standard for model lifecycle governance and accountability.</w:t>
      </w:r>
    </w:p>
    <w:bookmarkEnd w:id="10"/>
    <w:bookmarkStart w:id="12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all credit risk models referenced in</w:t>
      </w:r>
      <w:r>
        <w:t xml:space="preserve"> </w:t>
      </w:r>
      <w:hyperlink r:id="rId11">
        <w:r>
          <w:rPr>
            <w:rStyle w:val="Hyperlink"/>
          </w:rPr>
          <w:t xml:space="preserve">../models/MODEL_INVENTORY.md</w:t>
        </w:r>
      </w:hyperlink>
      <w:r>
        <w:t xml:space="preserve">.</w:t>
      </w:r>
    </w:p>
    <w:bookmarkEnd w:id="12"/>
    <w:bookmarkStart w:id="23" w:name="lifecycle-expectations"/>
    <w:p>
      <w:pPr>
        <w:pStyle w:val="Heading2"/>
      </w:pPr>
      <w:r>
        <w:t xml:space="preserve">Lifecycle Expectations</w:t>
      </w:r>
    </w:p>
    <w:bookmarkStart w:id="13" w:name="proposal"/>
    <w:p>
      <w:pPr>
        <w:pStyle w:val="Heading3"/>
      </w:pPr>
      <w:r>
        <w:t xml:space="preserve">Proposal</w:t>
      </w:r>
    </w:p>
    <w:p>
      <w:pPr>
        <w:pStyle w:val="Compact"/>
        <w:numPr>
          <w:ilvl w:val="0"/>
          <w:numId w:val="1002"/>
        </w:numPr>
      </w:pPr>
      <w:r>
        <w:t xml:space="preserve">Define business objective, risk context, and intended use.</w:t>
      </w:r>
    </w:p>
    <w:bookmarkEnd w:id="13"/>
    <w:bookmarkStart w:id="14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03"/>
        </w:numPr>
      </w:pPr>
      <w:r>
        <w:t xml:space="preserve">Document data sources, feature logic, methodology, and limitations.</w:t>
      </w:r>
    </w:p>
    <w:bookmarkEnd w:id="14"/>
    <w:bookmarkStart w:id="15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4"/>
        </w:numPr>
      </w:pPr>
      <w:r>
        <w:t xml:space="preserve">Independent validation checks design soundness, performance, and implementation.</w:t>
      </w:r>
    </w:p>
    <w:bookmarkEnd w:id="15"/>
    <w:bookmarkStart w:id="16" w:name="approval"/>
    <w:p>
      <w:pPr>
        <w:pStyle w:val="Heading3"/>
      </w:pPr>
      <w:r>
        <w:t xml:space="preserve">Approval</w:t>
      </w:r>
    </w:p>
    <w:p>
      <w:pPr>
        <w:pStyle w:val="Compact"/>
        <w:numPr>
          <w:ilvl w:val="0"/>
          <w:numId w:val="1005"/>
        </w:numPr>
      </w:pPr>
      <w:r>
        <w:t xml:space="preserve">Human approval required before deployment.</w:t>
      </w:r>
    </w:p>
    <w:bookmarkEnd w:id="16"/>
    <w:bookmarkStart w:id="17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Controlled release with version traceability.</w:t>
      </w:r>
    </w:p>
    <w:bookmarkEnd w:id="17"/>
    <w:bookmarkStart w:id="18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07"/>
        </w:numPr>
      </w:pPr>
      <w:r>
        <w:t xml:space="preserve">Periodic monitoring across data quality, stability, discrimination, calibration, and applicability.</w:t>
      </w:r>
    </w:p>
    <w:bookmarkEnd w:id="18"/>
    <w:bookmarkStart w:id="19" w:name="change"/>
    <w:p>
      <w:pPr>
        <w:pStyle w:val="Heading3"/>
      </w:pPr>
      <w:r>
        <w:t xml:space="preserve">Change</w:t>
      </w:r>
    </w:p>
    <w:p>
      <w:pPr>
        <w:pStyle w:val="Compact"/>
        <w:numPr>
          <w:ilvl w:val="0"/>
          <w:numId w:val="1008"/>
        </w:numPr>
      </w:pPr>
      <w:r>
        <w:t xml:space="preserve">Material change requires governance review and impact evidence.</w:t>
      </w:r>
    </w:p>
    <w:bookmarkEnd w:id="19"/>
    <w:bookmarkStart w:id="20" w:name="recalibration"/>
    <w:p>
      <w:pPr>
        <w:pStyle w:val="Heading3"/>
      </w:pPr>
      <w:r>
        <w:t xml:space="preserve">Recalibration</w:t>
      </w:r>
    </w:p>
    <w:p>
      <w:pPr>
        <w:pStyle w:val="Compact"/>
        <w:numPr>
          <w:ilvl w:val="0"/>
          <w:numId w:val="1009"/>
        </w:numPr>
      </w:pPr>
      <w:r>
        <w:t xml:space="preserve">Allowed only with evidence-backed rationale and approval.</w:t>
      </w:r>
    </w:p>
    <w:bookmarkEnd w:id="20"/>
    <w:bookmarkStart w:id="21" w:name="redevelopment"/>
    <w:p>
      <w:pPr>
        <w:pStyle w:val="Heading3"/>
      </w:pPr>
      <w:r>
        <w:t xml:space="preserve">Redevelopment</w:t>
      </w:r>
    </w:p>
    <w:p>
      <w:pPr>
        <w:pStyle w:val="Compact"/>
        <w:numPr>
          <w:ilvl w:val="0"/>
          <w:numId w:val="1010"/>
        </w:numPr>
      </w:pPr>
      <w:r>
        <w:t xml:space="preserve">Initiated when existing model is not fit for purpose.</w:t>
      </w:r>
    </w:p>
    <w:bookmarkEnd w:id="21"/>
    <w:bookmarkStart w:id="22" w:name="retirement"/>
    <w:p>
      <w:pPr>
        <w:pStyle w:val="Heading3"/>
      </w:pPr>
      <w:r>
        <w:t xml:space="preserve">Retirement</w:t>
      </w:r>
    </w:p>
    <w:p>
      <w:pPr>
        <w:pStyle w:val="Compact"/>
        <w:numPr>
          <w:ilvl w:val="0"/>
          <w:numId w:val="1011"/>
        </w:numPr>
      </w:pPr>
      <w:r>
        <w:t xml:space="preserve">Formal retirement decision with transition plan and residual-risk statement.</w:t>
      </w:r>
    </w:p>
    <w:bookmarkEnd w:id="22"/>
    <w:bookmarkEnd w:id="23"/>
    <w:bookmarkStart w:id="24" w:name="core-governance-requirements"/>
    <w:p>
      <w:pPr>
        <w:pStyle w:val="Heading2"/>
      </w:pPr>
      <w:r>
        <w:t xml:space="preserve">Core Governance Requirements</w:t>
      </w:r>
    </w:p>
    <w:p>
      <w:pPr>
        <w:pStyle w:val="Compact"/>
        <w:numPr>
          <w:ilvl w:val="0"/>
          <w:numId w:val="1012"/>
        </w:numPr>
      </w:pPr>
      <w:r>
        <w:t xml:space="preserve">Named model ownership and accountability.</w:t>
      </w:r>
    </w:p>
    <w:p>
      <w:pPr>
        <w:pStyle w:val="Compact"/>
        <w:numPr>
          <w:ilvl w:val="0"/>
          <w:numId w:val="1012"/>
        </w:numPr>
      </w:pPr>
      <w:r>
        <w:t xml:space="preserve">Independent validation function.</w:t>
      </w:r>
    </w:p>
    <w:p>
      <w:pPr>
        <w:pStyle w:val="Compact"/>
        <w:numPr>
          <w:ilvl w:val="0"/>
          <w:numId w:val="1012"/>
        </w:numPr>
      </w:pPr>
      <w:r>
        <w:t xml:space="preserve">Maintained inventory and status tracking.</w:t>
      </w:r>
    </w:p>
    <w:p>
      <w:pPr>
        <w:pStyle w:val="Compact"/>
        <w:numPr>
          <w:ilvl w:val="0"/>
          <w:numId w:val="1012"/>
        </w:numPr>
      </w:pPr>
      <w:r>
        <w:t xml:space="preserve">Current documentation and evidence traceability.</w:t>
      </w:r>
    </w:p>
    <w:p>
      <w:pPr>
        <w:pStyle w:val="Compact"/>
        <w:numPr>
          <w:ilvl w:val="0"/>
          <w:numId w:val="1012"/>
        </w:numPr>
      </w:pPr>
      <w:r>
        <w:t xml:space="preserve">Continuous monitoring and issue management.</w:t>
      </w:r>
    </w:p>
    <w:p>
      <w:pPr>
        <w:pStyle w:val="Compact"/>
        <w:numPr>
          <w:ilvl w:val="0"/>
          <w:numId w:val="1012"/>
        </w:numPr>
      </w:pPr>
      <w:r>
        <w:t xml:space="preserve">Human accountability for material actions.</w:t>
      </w:r>
    </w:p>
    <w:bookmarkEnd w:id="24"/>
    <w:bookmarkStart w:id="28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INVESTIGATION_GUIDELINES.md</w:t>
        </w:r>
      </w:hyperlink>
    </w:p>
    <w:p>
      <w:pPr>
        <w:pStyle w:val="Compact"/>
        <w:numPr>
          <w:ilvl w:val="0"/>
          <w:numId w:val="1013"/>
        </w:numPr>
      </w:pPr>
      <w:hyperlink r:id="rId26">
        <w:r>
          <w:rPr>
            <w:rStyle w:val="Hyperlink"/>
          </w:rPr>
          <w:t xml:space="preserve">../policies/MODEL_MONITORING_POLICY.md</w:t>
        </w:r>
      </w:hyperlink>
    </w:p>
    <w:p>
      <w:pPr>
        <w:pStyle w:val="Compact"/>
        <w:numPr>
          <w:ilvl w:val="0"/>
          <w:numId w:val="1013"/>
        </w:numPr>
      </w:pPr>
      <w:hyperlink r:id="rId27">
        <w:r>
          <w:rPr>
            <w:rStyle w:val="Hyperlink"/>
          </w:rPr>
          <w:t xml:space="preserve">../policies/HUMAN_APPROVAL_POLICY.md</w:t>
        </w:r>
      </w:hyperlink>
    </w:p>
    <w:bookmarkEnd w:id="28"/>
    <w:bookmarkStart w:id="29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standard to check lifecycle-stage completeness and accountability before generating governance recommendations.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models/MODEL_INVENTORY.md" TargetMode="External" /><Relationship Type="http://schemas.openxmlformats.org/officeDocument/2006/relationships/hyperlink" Id="rId27" Target="../policies/HUMAN_APPROVAL_POLICY.md" TargetMode="External" /><Relationship Type="http://schemas.openxmlformats.org/officeDocument/2006/relationships/hyperlink" Id="rId26" Target="../policies/MODEL_MONITORING_POLICY.md" TargetMode="External" /><Relationship Type="http://schemas.openxmlformats.org/officeDocument/2006/relationships/hyperlink" Id="rId25" Target="INVESTIGATION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models/MODEL_INVENTORY.md" TargetMode="External" /><Relationship Type="http://schemas.openxmlformats.org/officeDocument/2006/relationships/hyperlink" Id="rId27" Target="../policies/HUMAN_APPROVAL_POLICY.md" TargetMode="External" /><Relationship Type="http://schemas.openxmlformats.org/officeDocument/2006/relationships/hyperlink" Id="rId26" Target="../policies/MODEL_MONITORING_POLICY.md" TargetMode="External" /><Relationship Type="http://schemas.openxmlformats.org/officeDocument/2006/relationships/hyperlink" Id="rId25" Target="INVESTIGATION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