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-score"/>
    <w:p>
      <w:pPr>
        <w:pStyle w:val="Heading1"/>
      </w:pPr>
      <w:r>
        <w:t xml:space="preserve">A Score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Quarterly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the acquisition-only model family for AI Assurance monitoring and governance workflows.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Applies to A Score models for Credit Card, Speedy Cash, and Speedy Loan at application stage only.</w:t>
      </w:r>
    </w:p>
    <w:bookmarkEnd w:id="11"/>
    <w:bookmarkStart w:id="12" w:name="family-definition"/>
    <w:p>
      <w:pPr>
        <w:pStyle w:val="Heading2"/>
      </w:pPr>
      <w:r>
        <w:t xml:space="preserve">Family Definition</w:t>
      </w:r>
    </w:p>
    <w:p>
      <w:pPr>
        <w:pStyle w:val="Compact"/>
        <w:numPr>
          <w:ilvl w:val="0"/>
          <w:numId w:val="1002"/>
        </w:numPr>
      </w:pPr>
      <w:r>
        <w:t xml:space="preserve">A Score is acquisition-only.</w:t>
      </w:r>
    </w:p>
    <w:p>
      <w:pPr>
        <w:pStyle w:val="Compact"/>
        <w:numPr>
          <w:ilvl w:val="0"/>
          <w:numId w:val="1002"/>
        </w:numPr>
      </w:pPr>
      <w:r>
        <w:t xml:space="preserve">Observation date is the application date.</w:t>
      </w:r>
    </w:p>
    <w:p>
      <w:pPr>
        <w:pStyle w:val="Compact"/>
        <w:numPr>
          <w:ilvl w:val="0"/>
          <w:numId w:val="1002"/>
        </w:numPr>
      </w:pPr>
      <w:r>
        <w:t xml:space="preserve">Observation unit is approved application.</w:t>
      </w:r>
    </w:p>
    <w:p>
      <w:pPr>
        <w:pStyle w:val="Compact"/>
        <w:numPr>
          <w:ilvl w:val="0"/>
          <w:numId w:val="1002"/>
        </w:numPr>
      </w:pPr>
      <w:r>
        <w:t xml:space="preserve">Scores are not re-used as post-booking monthly behavior scores.</w:t>
      </w:r>
    </w:p>
    <w:bookmarkEnd w:id="12"/>
    <w:bookmarkStart w:id="13" w:name="forward-performance-windows"/>
    <w:p>
      <w:pPr>
        <w:pStyle w:val="Heading2"/>
      </w:pPr>
      <w:r>
        <w:t xml:space="preserve">Forward Performance Windows</w:t>
      </w:r>
    </w:p>
    <w:p>
      <w:pPr>
        <w:pStyle w:val="Compact"/>
        <w:numPr>
          <w:ilvl w:val="0"/>
          <w:numId w:val="1003"/>
        </w:numPr>
      </w:pPr>
      <w:r>
        <w:t xml:space="preserve">3-month window: early performance signal.</w:t>
      </w:r>
    </w:p>
    <w:p>
      <w:pPr>
        <w:pStyle w:val="Compact"/>
        <w:numPr>
          <w:ilvl w:val="0"/>
          <w:numId w:val="1003"/>
        </w:numPr>
      </w:pPr>
      <w:r>
        <w:t xml:space="preserve">6-month window: intermediate performance signal.</w:t>
      </w:r>
    </w:p>
    <w:p>
      <w:pPr>
        <w:pStyle w:val="Compact"/>
        <w:numPr>
          <w:ilvl w:val="0"/>
          <w:numId w:val="1003"/>
        </w:numPr>
      </w:pPr>
      <w:r>
        <w:t xml:space="preserve">12-month window: more stable performance signal.</w:t>
      </w:r>
    </w:p>
    <w:p>
      <w:pPr>
        <w:pStyle w:val="Compact"/>
        <w:numPr>
          <w:ilvl w:val="0"/>
          <w:numId w:val="1003"/>
        </w:numPr>
      </w:pPr>
      <w:r>
        <w:t xml:space="preserve">Outcome monitoring uses only windows that are mature.</w:t>
      </w:r>
    </w:p>
    <w:bookmarkEnd w:id="13"/>
    <w:bookmarkStart w:id="14" w:name="label-maturity-rules"/>
    <w:p>
      <w:pPr>
        <w:pStyle w:val="Heading2"/>
      </w:pPr>
      <w:r>
        <w:t xml:space="preserve">Label Maturity Rules</w:t>
      </w:r>
    </w:p>
    <w:p>
      <w:pPr>
        <w:pStyle w:val="Compact"/>
        <w:numPr>
          <w:ilvl w:val="0"/>
          <w:numId w:val="1004"/>
        </w:numPr>
      </w:pPr>
      <w:r>
        <w:t xml:space="preserve">Mature label: full target window elapsed and outcome finalized per policy.</w:t>
      </w:r>
    </w:p>
    <w:p>
      <w:pPr>
        <w:pStyle w:val="Compact"/>
        <w:numPr>
          <w:ilvl w:val="0"/>
          <w:numId w:val="1004"/>
        </w:numPr>
      </w:pPr>
      <w:r>
        <w:t xml:space="preserve">Immature label: target window has not fully elapsed.</w:t>
      </w:r>
    </w:p>
    <w:p>
      <w:pPr>
        <w:pStyle w:val="Compact"/>
        <w:numPr>
          <w:ilvl w:val="0"/>
          <w:numId w:val="1004"/>
        </w:numPr>
      </w:pPr>
      <w:r>
        <w:t xml:space="preserve">Censored label: outcome interrupted or incomplete for non-performance reasons.</w:t>
      </w:r>
    </w:p>
    <w:bookmarkEnd w:id="14"/>
    <w:bookmarkStart w:id="15" w:name="leakage-controls"/>
    <w:p>
      <w:pPr>
        <w:pStyle w:val="Heading2"/>
      </w:pPr>
      <w:r>
        <w:t xml:space="preserve">Leakage Controls</w:t>
      </w:r>
    </w:p>
    <w:p>
      <w:pPr>
        <w:pStyle w:val="Compact"/>
        <w:numPr>
          <w:ilvl w:val="0"/>
          <w:numId w:val="1005"/>
        </w:numPr>
      </w:pPr>
      <w:r>
        <w:t xml:space="preserve">Exclude post-application features from development and monitoring datasets.</w:t>
      </w:r>
    </w:p>
    <w:p>
      <w:pPr>
        <w:pStyle w:val="Compact"/>
        <w:numPr>
          <w:ilvl w:val="0"/>
          <w:numId w:val="1005"/>
        </w:numPr>
      </w:pPr>
      <w:r>
        <w:t xml:space="preserve">Lock feature snapshot at application date.</w:t>
      </w:r>
    </w:p>
    <w:p>
      <w:pPr>
        <w:pStyle w:val="Compact"/>
        <w:numPr>
          <w:ilvl w:val="0"/>
          <w:numId w:val="1005"/>
        </w:numPr>
      </w:pPr>
      <w:r>
        <w:t xml:space="preserve">Separate booking decision logic from outcome labels.</w:t>
      </w:r>
    </w:p>
    <w:p>
      <w:pPr>
        <w:pStyle w:val="Compact"/>
        <w:numPr>
          <w:ilvl w:val="0"/>
          <w:numId w:val="1005"/>
        </w:numPr>
      </w:pPr>
      <w:r>
        <w:t xml:space="preserve">Flag any detected post-observation data contamination as a governance issue.</w:t>
      </w:r>
    </w:p>
    <w:bookmarkEnd w:id="15"/>
    <w:bookmarkStart w:id="16" w:name="key-terms"/>
    <w:p>
      <w:pPr>
        <w:pStyle w:val="Heading2"/>
      </w:pPr>
      <w:r>
        <w:t xml:space="preserve">Key Terms</w:t>
      </w:r>
    </w:p>
    <w:p>
      <w:pPr>
        <w:pStyle w:val="Compact"/>
        <w:numPr>
          <w:ilvl w:val="0"/>
          <w:numId w:val="1006"/>
        </w:numPr>
      </w:pPr>
      <w:r>
        <w:t xml:space="preserve">Acquisition-only: usable only at origination stage.</w:t>
      </w:r>
    </w:p>
    <w:p>
      <w:pPr>
        <w:pStyle w:val="Compact"/>
        <w:numPr>
          <w:ilvl w:val="0"/>
          <w:numId w:val="1006"/>
        </w:numPr>
      </w:pPr>
      <w:r>
        <w:t xml:space="preserve">Observation date: point-in-time date used for feature capture and eligibility.</w:t>
      </w:r>
    </w:p>
    <w:bookmarkEnd w:id="16"/>
    <w:bookmarkStart w:id="20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07"/>
        </w:numPr>
      </w:pPr>
      <w:hyperlink r:id="rId17">
        <w:r>
          <w:rPr>
            <w:rStyle w:val="Hyperlink"/>
          </w:rPr>
          <w:t xml:space="preserve">MODEL_INVENTORY.md</w:t>
        </w:r>
      </w:hyperlink>
    </w:p>
    <w:p>
      <w:pPr>
        <w:pStyle w:val="Compact"/>
        <w:numPr>
          <w:ilvl w:val="0"/>
          <w:numId w:val="1007"/>
        </w:numPr>
      </w:pPr>
      <w:hyperlink r:id="rId18">
        <w:r>
          <w:rPr>
            <w:rStyle w:val="Hyperlink"/>
          </w:rPr>
          <w:t xml:space="preserve">B_SCORE.md</w:t>
        </w:r>
      </w:hyperlink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Hyperlink"/>
          </w:rPr>
          <w:t xml:space="preserve">../policies/MODEL_MONITORING_POLICY.md</w:t>
        </w:r>
      </w:hyperlink>
    </w:p>
    <w:bookmarkEnd w:id="20"/>
    <w:bookmarkStart w:id="21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document when interpreting application-stage monitoring signals and when checking that no post-booking leakage assumptions were introduced.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../policies/MODEL_MONITORING_POLICY.md" TargetMode="External" /><Relationship Type="http://schemas.openxmlformats.org/officeDocument/2006/relationships/hyperlink" Id="rId18" Target="B_SCORE.md" TargetMode="External" /><Relationship Type="http://schemas.openxmlformats.org/officeDocument/2006/relationships/hyperlink" Id="rId17" Target="MODEL_INVENTO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policies/MODEL_MONITORING_POLICY.md" TargetMode="External" /><Relationship Type="http://schemas.openxmlformats.org/officeDocument/2006/relationships/hyperlink" Id="rId18" Target="B_SCORE.md" TargetMode="External" /><Relationship Type="http://schemas.openxmlformats.org/officeDocument/2006/relationships/hyperlink" Id="rId17" Target="MODEL_INVENTO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2026-07-14T00:59:50Z</dcterms:created>
  <dcterms:modified xsi:type="dcterms:W3CDTF">2026-07-14T00:59:50Z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