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b-score"/>
    <w:p>
      <w:pPr>
        <w:pStyle w:val="Heading1"/>
      </w:pPr>
      <w:r>
        <w:t xml:space="preserve">B Score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Monthly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monthly post-booking behavior score family and its monitoring interpretation rules.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B Score models for Credit Card, Speedy Cash, and Speedy Loan in account-month monitoring.</w:t>
      </w:r>
    </w:p>
    <w:bookmarkEnd w:id="11"/>
    <w:bookmarkStart w:id="12" w:name="family-definition"/>
    <w:p>
      <w:pPr>
        <w:pStyle w:val="Heading2"/>
      </w:pPr>
      <w:r>
        <w:t xml:space="preserve">Family Definition</w:t>
      </w:r>
    </w:p>
    <w:p>
      <w:pPr>
        <w:pStyle w:val="Compact"/>
        <w:numPr>
          <w:ilvl w:val="0"/>
          <w:numId w:val="1002"/>
        </w:numPr>
      </w:pPr>
      <w:r>
        <w:t xml:space="preserve">B Score is a monthly post-booking score.</w:t>
      </w:r>
    </w:p>
    <w:p>
      <w:pPr>
        <w:pStyle w:val="Compact"/>
        <w:numPr>
          <w:ilvl w:val="0"/>
          <w:numId w:val="1002"/>
        </w:numPr>
      </w:pPr>
      <w:r>
        <w:t xml:space="preserve">B Score applicability is only when MOB &gt;= 6.</w:t>
      </w:r>
    </w:p>
    <w:p>
      <w:pPr>
        <w:pStyle w:val="Compact"/>
        <w:numPr>
          <w:ilvl w:val="0"/>
          <w:numId w:val="1002"/>
        </w:numPr>
      </w:pPr>
      <w:r>
        <w:t xml:space="preserve">Observation unit is account-month.</w:t>
      </w:r>
    </w:p>
    <w:p>
      <w:pPr>
        <w:pStyle w:val="Compact"/>
        <w:numPr>
          <w:ilvl w:val="0"/>
          <w:numId w:val="1002"/>
        </w:numPr>
      </w:pPr>
      <w:r>
        <w:t xml:space="preserve">Any scoring event with MOB &lt; 6 is an applicability violation.</w:t>
      </w:r>
    </w:p>
    <w:bookmarkEnd w:id="12"/>
    <w:bookmarkStart w:id="13" w:name="monthly-rescoring"/>
    <w:p>
      <w:pPr>
        <w:pStyle w:val="Heading2"/>
      </w:pPr>
      <w:r>
        <w:t xml:space="preserve">Monthly Rescoring</w:t>
      </w:r>
    </w:p>
    <w:p>
      <w:pPr>
        <w:pStyle w:val="Compact"/>
        <w:numPr>
          <w:ilvl w:val="0"/>
          <w:numId w:val="1003"/>
        </w:numPr>
      </w:pPr>
      <w:r>
        <w:t xml:space="preserve">Each eligible account is rescored monthly.</w:t>
      </w:r>
    </w:p>
    <w:p>
      <w:pPr>
        <w:pStyle w:val="Compact"/>
        <w:numPr>
          <w:ilvl w:val="0"/>
          <w:numId w:val="1003"/>
        </w:numPr>
      </w:pPr>
      <w:r>
        <w:t xml:space="preserve">Monitoring compares current month versus reference periods and recent trends.</w:t>
      </w:r>
    </w:p>
    <w:p>
      <w:pPr>
        <w:pStyle w:val="Compact"/>
        <w:numPr>
          <w:ilvl w:val="0"/>
          <w:numId w:val="1003"/>
        </w:numPr>
      </w:pPr>
      <w:r>
        <w:t xml:space="preserve">Investigation should separate scoring-population change from pure model drift.</w:t>
      </w:r>
    </w:p>
    <w:bookmarkEnd w:id="13"/>
    <w:bookmarkStart w:id="14" w:name="forward-performance-windows"/>
    <w:p>
      <w:pPr>
        <w:pStyle w:val="Heading2"/>
      </w:pPr>
      <w:r>
        <w:t xml:space="preserve">Forward Performance Windows</w:t>
      </w:r>
    </w:p>
    <w:p>
      <w:pPr>
        <w:pStyle w:val="Compact"/>
        <w:numPr>
          <w:ilvl w:val="0"/>
          <w:numId w:val="1004"/>
        </w:numPr>
      </w:pPr>
      <w:r>
        <w:t xml:space="preserve">Forward 3-month: earliest performance readout after observation month.</w:t>
      </w:r>
    </w:p>
    <w:p>
      <w:pPr>
        <w:pStyle w:val="Compact"/>
        <w:numPr>
          <w:ilvl w:val="0"/>
          <w:numId w:val="1004"/>
        </w:numPr>
      </w:pPr>
      <w:r>
        <w:t xml:space="preserve">Forward 6-month: intermediate readout.</w:t>
      </w:r>
    </w:p>
    <w:p>
      <w:pPr>
        <w:pStyle w:val="Compact"/>
        <w:numPr>
          <w:ilvl w:val="0"/>
          <w:numId w:val="1004"/>
        </w:numPr>
      </w:pPr>
      <w:r>
        <w:t xml:space="preserve">Forward 12-month: long-horizon readout.</w:t>
      </w:r>
    </w:p>
    <w:p>
      <w:pPr>
        <w:pStyle w:val="Compact"/>
        <w:numPr>
          <w:ilvl w:val="0"/>
          <w:numId w:val="1004"/>
        </w:numPr>
      </w:pPr>
      <w:r>
        <w:t xml:space="preserve">Immature windows cannot be used for outcome conclusions.</w:t>
      </w:r>
    </w:p>
    <w:bookmarkEnd w:id="14"/>
    <w:bookmarkStart w:id="16" w:name="eligibility-and-applicability-controls"/>
    <w:p>
      <w:pPr>
        <w:pStyle w:val="Heading2"/>
      </w:pPr>
      <w:r>
        <w:t xml:space="preserve">Eligibility and Applicability Controls</w:t>
      </w:r>
    </w:p>
    <w:p>
      <w:pPr>
        <w:pStyle w:val="Compact"/>
        <w:numPr>
          <w:ilvl w:val="0"/>
          <w:numId w:val="1005"/>
        </w:numPr>
      </w:pPr>
      <w:r>
        <w:t xml:space="preserve">Enforce MOB &gt;= 6 before metric generation and narrative interpretation.</w:t>
      </w:r>
    </w:p>
    <w:p>
      <w:pPr>
        <w:pStyle w:val="Compact"/>
        <w:numPr>
          <w:ilvl w:val="0"/>
          <w:numId w:val="1005"/>
        </w:numPr>
      </w:pPr>
      <w:r>
        <w:t xml:space="preserve">Record count and proportion of ineligible scored records.</w:t>
      </w:r>
    </w:p>
    <w:p>
      <w:pPr>
        <w:pStyle w:val="Compact"/>
        <w:numPr>
          <w:ilvl w:val="0"/>
          <w:numId w:val="1005"/>
        </w:numPr>
      </w:pPr>
      <w:r>
        <w:t xml:space="preserve">Route breaches through applicability controls in</w:t>
      </w:r>
      <w:r>
        <w:t xml:space="preserve"> </w:t>
      </w:r>
      <w:hyperlink r:id="rId15">
        <w:r>
          <w:rPr>
            <w:rStyle w:val="Hyperlink"/>
          </w:rPr>
          <w:t xml:space="preserve">../policies/THRESHOLD_MATRIX.md</w:t>
        </w:r>
      </w:hyperlink>
      <w:r>
        <w:t xml:space="preserve">.</w:t>
      </w:r>
    </w:p>
    <w:bookmarkEnd w:id="16"/>
    <w:bookmarkStart w:id="19" w:name="revolving-and-term-loan-distinctions"/>
    <w:p>
      <w:pPr>
        <w:pStyle w:val="Heading2"/>
      </w:pPr>
      <w:r>
        <w:t xml:space="preserve">Revolving and Term-Loan Distinctions</w:t>
      </w:r>
    </w:p>
    <w:bookmarkStart w:id="17" w:name="X2d31256515bcac1ea4c5e96292e314763e3de89"/>
    <w:p>
      <w:pPr>
        <w:pStyle w:val="Heading3"/>
      </w:pPr>
      <w:r>
        <w:t xml:space="preserve">Revolving Products (Credit Card, Speedy Cash)</w:t>
      </w:r>
    </w:p>
    <w:p>
      <w:pPr>
        <w:pStyle w:val="Compact"/>
        <w:numPr>
          <w:ilvl w:val="0"/>
          <w:numId w:val="1006"/>
        </w:numPr>
      </w:pPr>
      <w:r>
        <w:t xml:space="preserve">Utilization dynamics and payment ratio changes can materially affect score distribution.</w:t>
      </w:r>
    </w:p>
    <w:p>
      <w:pPr>
        <w:pStyle w:val="Compact"/>
        <w:numPr>
          <w:ilvl w:val="0"/>
          <w:numId w:val="1006"/>
        </w:numPr>
      </w:pPr>
      <w:r>
        <w:t xml:space="preserve">Campaign-driven thin-file mix can alter stability metrics without immediate discrimination collapse.</w:t>
      </w:r>
    </w:p>
    <w:bookmarkEnd w:id="17"/>
    <w:bookmarkStart w:id="18" w:name="term-loan-product-speedy-loan"/>
    <w:p>
      <w:pPr>
        <w:pStyle w:val="Heading3"/>
      </w:pPr>
      <w:r>
        <w:t xml:space="preserve">Term Loan Product (Speedy Loan)</w:t>
      </w:r>
    </w:p>
    <w:p>
      <w:pPr>
        <w:pStyle w:val="Compact"/>
        <w:numPr>
          <w:ilvl w:val="0"/>
          <w:numId w:val="1007"/>
        </w:numPr>
      </w:pPr>
      <w:r>
        <w:t xml:space="preserve">Installment adherence and contractual schedule progression are dominant behavioral drivers.</w:t>
      </w:r>
    </w:p>
    <w:p>
      <w:pPr>
        <w:pStyle w:val="Compact"/>
        <w:numPr>
          <w:ilvl w:val="0"/>
          <w:numId w:val="1007"/>
        </w:numPr>
      </w:pPr>
      <w:r>
        <w:t xml:space="preserve">Utilization-ratio style interpretations are not meaningful for term loans.</w:t>
      </w:r>
    </w:p>
    <w:bookmarkEnd w:id="18"/>
    <w:bookmarkEnd w:id="19"/>
    <w:bookmarkStart w:id="26" w:name="monitoring-interpretation-guide"/>
    <w:p>
      <w:pPr>
        <w:pStyle w:val="Heading2"/>
      </w:pPr>
      <w:r>
        <w:t xml:space="preserve">Monitoring Interpretation Guide</w:t>
      </w:r>
    </w:p>
    <w:bookmarkStart w:id="20" w:name="data-quality"/>
    <w:p>
      <w:pPr>
        <w:pStyle w:val="Heading3"/>
      </w:pPr>
      <w:r>
        <w:t xml:space="preserve">Data Quality</w:t>
      </w:r>
    </w:p>
    <w:p>
      <w:pPr>
        <w:pStyle w:val="Compact"/>
        <w:numPr>
          <w:ilvl w:val="0"/>
          <w:numId w:val="1008"/>
        </w:numPr>
      </w:pPr>
      <w:r>
        <w:t xml:space="preserve">Validate feature missingness, source refresh timing, and schema compatibility.</w:t>
      </w:r>
    </w:p>
    <w:bookmarkEnd w:id="20"/>
    <w:bookmarkStart w:id="21" w:name="stability"/>
    <w:p>
      <w:pPr>
        <w:pStyle w:val="Heading3"/>
      </w:pPr>
      <w:r>
        <w:t xml:space="preserve">Stability</w:t>
      </w:r>
    </w:p>
    <w:p>
      <w:pPr>
        <w:pStyle w:val="Compact"/>
        <w:numPr>
          <w:ilvl w:val="0"/>
          <w:numId w:val="1009"/>
        </w:numPr>
      </w:pPr>
      <w:r>
        <w:t xml:space="preserve">Use PSI and feature-level CSI to detect shift.</w:t>
      </w:r>
    </w:p>
    <w:bookmarkEnd w:id="21"/>
    <w:bookmarkStart w:id="22" w:name="discrimination"/>
    <w:p>
      <w:pPr>
        <w:pStyle w:val="Heading3"/>
      </w:pPr>
      <w:r>
        <w:t xml:space="preserve">Discrimination</w:t>
      </w:r>
    </w:p>
    <w:p>
      <w:pPr>
        <w:pStyle w:val="Compact"/>
        <w:numPr>
          <w:ilvl w:val="0"/>
          <w:numId w:val="1010"/>
        </w:numPr>
      </w:pPr>
      <w:r>
        <w:t xml:space="preserve">Track Gini, KS, and AUC trend by product and key segments.</w:t>
      </w:r>
    </w:p>
    <w:bookmarkEnd w:id="22"/>
    <w:bookmarkStart w:id="23" w:name="calibration"/>
    <w:p>
      <w:pPr>
        <w:pStyle w:val="Heading3"/>
      </w:pPr>
      <w:r>
        <w:t xml:space="preserve">Calibration</w:t>
      </w:r>
    </w:p>
    <w:p>
      <w:pPr>
        <w:pStyle w:val="Compact"/>
        <w:numPr>
          <w:ilvl w:val="0"/>
          <w:numId w:val="1011"/>
        </w:numPr>
      </w:pPr>
      <w:r>
        <w:t xml:space="preserve">Evaluate O/E ratio and segment-level calibration drift.</w:t>
      </w:r>
    </w:p>
    <w:bookmarkEnd w:id="23"/>
    <w:bookmarkStart w:id="24" w:name="segment-performance"/>
    <w:p>
      <w:pPr>
        <w:pStyle w:val="Heading3"/>
      </w:pPr>
      <w:r>
        <w:t xml:space="preserve">Segment Performance</w:t>
      </w:r>
    </w:p>
    <w:p>
      <w:pPr>
        <w:pStyle w:val="Compact"/>
        <w:numPr>
          <w:ilvl w:val="0"/>
          <w:numId w:val="1012"/>
        </w:numPr>
      </w:pPr>
      <w:r>
        <w:t xml:space="preserve">Analyze by vintage, channel, thin-file segment, and policy cohorts.</w:t>
      </w:r>
    </w:p>
    <w:bookmarkEnd w:id="24"/>
    <w:bookmarkStart w:id="25" w:name="operational-implementation"/>
    <w:p>
      <w:pPr>
        <w:pStyle w:val="Heading3"/>
      </w:pPr>
      <w:r>
        <w:t xml:space="preserve">Operational Implementation</w:t>
      </w:r>
    </w:p>
    <w:p>
      <w:pPr>
        <w:pStyle w:val="Compact"/>
        <w:numPr>
          <w:ilvl w:val="0"/>
          <w:numId w:val="1013"/>
        </w:numPr>
      </w:pPr>
      <w:r>
        <w:t xml:space="preserve">Confirm correct model version, cutoff logic, and scoring population filters.</w:t>
      </w:r>
    </w:p>
    <w:bookmarkEnd w:id="25"/>
    <w:bookmarkEnd w:id="26"/>
    <w:bookmarkStart w:id="27" w:name="june-2026-mvp-scenario-signals"/>
    <w:p>
      <w:pPr>
        <w:pStyle w:val="Heading2"/>
      </w:pPr>
      <w:r>
        <w:t xml:space="preserve">June 2026 MVP Scenario Signals</w:t>
      </w:r>
    </w:p>
    <w:p>
      <w:pPr>
        <w:pStyle w:val="Compact"/>
        <w:numPr>
          <w:ilvl w:val="0"/>
          <w:numId w:val="1014"/>
        </w:numPr>
      </w:pPr>
      <w:r>
        <w:t xml:space="preserve">Primary shift: thin-file mix increase after campaign.</w:t>
      </w:r>
    </w:p>
    <w:p>
      <w:pPr>
        <w:pStyle w:val="Compact"/>
        <w:numPr>
          <w:ilvl w:val="0"/>
          <w:numId w:val="1014"/>
        </w:numPr>
      </w:pPr>
      <w:r>
        <w:t xml:space="preserve">Contributing shift: bureau feature missingness increase from upstream issue.</w:t>
      </w:r>
    </w:p>
    <w:p>
      <w:pPr>
        <w:pStyle w:val="Compact"/>
        <w:numPr>
          <w:ilvl w:val="0"/>
          <w:numId w:val="1014"/>
        </w:numPr>
      </w:pPr>
      <w:r>
        <w:t xml:space="preserve">Population change: policy change altered scored population composition.</w:t>
      </w:r>
    </w:p>
    <w:p>
      <w:pPr>
        <w:pStyle w:val="Compact"/>
        <w:numPr>
          <w:ilvl w:val="0"/>
          <w:numId w:val="1014"/>
        </w:numPr>
      </w:pPr>
      <w:r>
        <w:t xml:space="preserve">Expected outcome: combined stability and calibration stress with potentially mixed discrimination signals.</w:t>
      </w:r>
    </w:p>
    <w:bookmarkEnd w:id="27"/>
    <w:bookmarkStart w:id="28" w:name="key-terms"/>
    <w:p>
      <w:pPr>
        <w:pStyle w:val="Heading2"/>
      </w:pPr>
      <w:r>
        <w:t xml:space="preserve">Key Terms</w:t>
      </w:r>
    </w:p>
    <w:p>
      <w:pPr>
        <w:pStyle w:val="Compact"/>
        <w:numPr>
          <w:ilvl w:val="0"/>
          <w:numId w:val="1015"/>
        </w:numPr>
      </w:pPr>
      <w:r>
        <w:t xml:space="preserve">Account-month: account-level observation for a specific month.</w:t>
      </w:r>
    </w:p>
    <w:p>
      <w:pPr>
        <w:pStyle w:val="Compact"/>
        <w:numPr>
          <w:ilvl w:val="0"/>
          <w:numId w:val="1015"/>
        </w:numPr>
      </w:pPr>
      <w:r>
        <w:t xml:space="preserve">Applicability violation: use of B Score outside MOB &gt;= 6 rule.</w:t>
      </w:r>
    </w:p>
    <w:bookmarkEnd w:id="28"/>
    <w:bookmarkStart w:id="33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16"/>
        </w:numPr>
      </w:pPr>
      <w:hyperlink r:id="rId29">
        <w:r>
          <w:rPr>
            <w:rStyle w:val="Hyperlink"/>
          </w:rPr>
          <w:t xml:space="preserve">MODEL_INVENTORY.md</w:t>
        </w:r>
      </w:hyperlink>
    </w:p>
    <w:p>
      <w:pPr>
        <w:pStyle w:val="Compact"/>
        <w:numPr>
          <w:ilvl w:val="0"/>
          <w:numId w:val="1016"/>
        </w:numPr>
      </w:pPr>
      <w:hyperlink r:id="rId30">
        <w:r>
          <w:rPr>
            <w:rStyle w:val="Hyperlink"/>
          </w:rPr>
          <w:t xml:space="preserve">../business/PRODUCTS.md</w:t>
        </w:r>
      </w:hyperlink>
    </w:p>
    <w:p>
      <w:pPr>
        <w:pStyle w:val="Compact"/>
        <w:numPr>
          <w:ilvl w:val="0"/>
          <w:numId w:val="1016"/>
        </w:numPr>
      </w:pPr>
      <w:hyperlink r:id="rId31">
        <w:r>
          <w:rPr>
            <w:rStyle w:val="Hyperlink"/>
          </w:rPr>
          <w:t xml:space="preserve">../policies/MODEL_MONITORING_POLICY.md</w:t>
        </w:r>
      </w:hyperlink>
    </w:p>
    <w:p>
      <w:pPr>
        <w:pStyle w:val="Compact"/>
        <w:numPr>
          <w:ilvl w:val="0"/>
          <w:numId w:val="1016"/>
        </w:numPr>
      </w:pPr>
      <w:hyperlink r:id="rId32">
        <w:r>
          <w:rPr>
            <w:rStyle w:val="Hyperlink"/>
          </w:rPr>
          <w:t xml:space="preserve">../governance/INVESTIGATION_GUIDELINES.md</w:t>
        </w:r>
      </w:hyperlink>
    </w:p>
    <w:bookmarkEnd w:id="33"/>
    <w:bookmarkStart w:id="34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as the primary runtime model-family guide for monthly monitoring narratives, applicability checks, and investigation hypothesis framing.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../business/PRODUCTS.md" TargetMode="External" /><Relationship Type="http://schemas.openxmlformats.org/officeDocument/2006/relationships/hyperlink" Id="rId32" Target="../governance/INVESTIGATION_GUIDELINES.md" TargetMode="External" /><Relationship Type="http://schemas.openxmlformats.org/officeDocument/2006/relationships/hyperlink" Id="rId31" Target="../policies/MODEL_MONITORING_POLICY.md" TargetMode="External" /><Relationship Type="http://schemas.openxmlformats.org/officeDocument/2006/relationships/hyperlink" Id="rId15" Target="../policies/THRESHOLD_MATRIX.md" TargetMode="External" /><Relationship Type="http://schemas.openxmlformats.org/officeDocument/2006/relationships/hyperlink" Id="rId29" Target="MODEL_INVEN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business/PRODUCTS.md" TargetMode="External" /><Relationship Type="http://schemas.openxmlformats.org/officeDocument/2006/relationships/hyperlink" Id="rId32" Target="../governance/INVESTIGATION_GUIDELINES.md" TargetMode="External" /><Relationship Type="http://schemas.openxmlformats.org/officeDocument/2006/relationships/hyperlink" Id="rId31" Target="../policies/MODEL_MONITORING_POLICY.md" TargetMode="External" /><Relationship Type="http://schemas.openxmlformats.org/officeDocument/2006/relationships/hyperlink" Id="rId15" Target="../policies/THRESHOLD_MATRIX.md" TargetMode="External" /><Relationship Type="http://schemas.openxmlformats.org/officeDocument/2006/relationships/hyperlink" Id="rId29" Target="MODEL_INVEN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