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-score"/>
    <w:p>
      <w:pPr>
        <w:pStyle w:val="Heading1"/>
      </w:pPr>
      <w:r>
        <w:t xml:space="preserve">C Score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Monthly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bucket-specific collections monitoring rules for C Score models.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Limited to Bucket 0 and Bucket 1 monitoring for Credit Card, Speedy Cash, and Speedy Loan.</w:t>
      </w:r>
    </w:p>
    <w:bookmarkEnd w:id="11"/>
    <w:bookmarkStart w:id="12" w:name="family-definition"/>
    <w:p>
      <w:pPr>
        <w:pStyle w:val="Heading2"/>
      </w:pPr>
      <w:r>
        <w:t xml:space="preserve">Family Definition</w:t>
      </w:r>
    </w:p>
    <w:p>
      <w:pPr>
        <w:pStyle w:val="Compact"/>
        <w:numPr>
          <w:ilvl w:val="0"/>
          <w:numId w:val="1002"/>
        </w:numPr>
      </w:pPr>
      <w:r>
        <w:t xml:space="preserve">C Score is a delinquency transition score family.</w:t>
      </w:r>
    </w:p>
    <w:p>
      <w:pPr>
        <w:pStyle w:val="Compact"/>
        <w:numPr>
          <w:ilvl w:val="0"/>
          <w:numId w:val="1002"/>
        </w:numPr>
      </w:pPr>
      <w:r>
        <w:t xml:space="preserve">Monitoring is bucket-specific and must not mix Bucket 0 with Bucket 1 populations.</w:t>
      </w:r>
    </w:p>
    <w:p>
      <w:pPr>
        <w:pStyle w:val="Compact"/>
        <w:numPr>
          <w:ilvl w:val="0"/>
          <w:numId w:val="1002"/>
        </w:numPr>
      </w:pPr>
      <w:r>
        <w:t xml:space="preserve">This runtime scope does not expand beyond Bucket 1.</w:t>
      </w:r>
    </w:p>
    <w:bookmarkEnd w:id="12"/>
    <w:bookmarkStart w:id="15" w:name="bucket-definitions"/>
    <w:p>
      <w:pPr>
        <w:pStyle w:val="Heading2"/>
      </w:pPr>
      <w:r>
        <w:t xml:space="preserve">Bucket Definitions</w:t>
      </w:r>
    </w:p>
    <w:bookmarkStart w:id="13" w:name="bucket-0"/>
    <w:p>
      <w:pPr>
        <w:pStyle w:val="Heading3"/>
      </w:pPr>
      <w:r>
        <w:t xml:space="preserve">Bucket 0</w:t>
      </w:r>
    </w:p>
    <w:p>
      <w:pPr>
        <w:pStyle w:val="FirstParagraph"/>
      </w:pPr>
      <w:r>
        <w:t xml:space="preserve">Current or near-current accounts used to monitor early deterioration risk.</w:t>
      </w:r>
    </w:p>
    <w:bookmarkEnd w:id="13"/>
    <w:bookmarkStart w:id="14" w:name="bucket-1"/>
    <w:p>
      <w:pPr>
        <w:pStyle w:val="Heading3"/>
      </w:pPr>
      <w:r>
        <w:t xml:space="preserve">Bucket 1</w:t>
      </w:r>
    </w:p>
    <w:p>
      <w:pPr>
        <w:pStyle w:val="FirstParagraph"/>
      </w:pPr>
      <w:r>
        <w:t xml:space="preserve">Early delinquent accounts used to monitor worsening risk and cure likelihood.</w:t>
      </w:r>
    </w:p>
    <w:bookmarkEnd w:id="14"/>
    <w:bookmarkEnd w:id="15"/>
    <w:bookmarkStart w:id="16" w:name="outcome-states"/>
    <w:p>
      <w:pPr>
        <w:pStyle w:val="Heading2"/>
      </w:pPr>
      <w:r>
        <w:t xml:space="preserve">Outcome States</w:t>
      </w:r>
    </w:p>
    <w:p>
      <w:pPr>
        <w:pStyle w:val="Compact"/>
        <w:numPr>
          <w:ilvl w:val="0"/>
          <w:numId w:val="1003"/>
        </w:numPr>
      </w:pPr>
      <w:r>
        <w:t xml:space="preserve">Cure: transition to materially improved repayment status.</w:t>
      </w:r>
    </w:p>
    <w:p>
      <w:pPr>
        <w:pStyle w:val="Compact"/>
        <w:numPr>
          <w:ilvl w:val="0"/>
          <w:numId w:val="1003"/>
        </w:numPr>
      </w:pPr>
      <w:r>
        <w:t xml:space="preserve">Stay: remains in same bucket over monitoring interval.</w:t>
      </w:r>
    </w:p>
    <w:p>
      <w:pPr>
        <w:pStyle w:val="Compact"/>
        <w:numPr>
          <w:ilvl w:val="0"/>
          <w:numId w:val="1003"/>
        </w:numPr>
      </w:pPr>
      <w:r>
        <w:t xml:space="preserve">Roll-forward: transition to worse bucket.</w:t>
      </w:r>
    </w:p>
    <w:p>
      <w:pPr>
        <w:pStyle w:val="Compact"/>
        <w:numPr>
          <w:ilvl w:val="0"/>
          <w:numId w:val="1003"/>
        </w:numPr>
      </w:pPr>
      <w:r>
        <w:t xml:space="preserve">NPL: non-performing status per internal credit policy classification.</w:t>
      </w:r>
    </w:p>
    <w:p>
      <w:pPr>
        <w:pStyle w:val="Compact"/>
        <w:numPr>
          <w:ilvl w:val="0"/>
          <w:numId w:val="1003"/>
        </w:numPr>
      </w:pPr>
      <w:r>
        <w:t xml:space="preserve">Charge-off: write-off event based on internal accounting and policy criteria.</w:t>
      </w:r>
    </w:p>
    <w:p>
      <w:pPr>
        <w:pStyle w:val="Compact"/>
        <w:numPr>
          <w:ilvl w:val="0"/>
          <w:numId w:val="1003"/>
        </w:numPr>
      </w:pPr>
      <w:r>
        <w:t xml:space="preserve">Restructuring: payment-term modification due to distress handling.</w:t>
      </w:r>
    </w:p>
    <w:bookmarkEnd w:id="16"/>
    <w:bookmarkStart w:id="17" w:name="observation-populations"/>
    <w:p>
      <w:pPr>
        <w:pStyle w:val="Heading2"/>
      </w:pPr>
      <w:r>
        <w:t xml:space="preserve">Observation Populations</w:t>
      </w:r>
    </w:p>
    <w:p>
      <w:pPr>
        <w:pStyle w:val="Compact"/>
        <w:numPr>
          <w:ilvl w:val="0"/>
          <w:numId w:val="1004"/>
        </w:numPr>
      </w:pPr>
      <w:r>
        <w:t xml:space="preserve">Bucket 0 model evaluates only accounts observed in Bucket 0 at observation time.</w:t>
      </w:r>
    </w:p>
    <w:p>
      <w:pPr>
        <w:pStyle w:val="Compact"/>
        <w:numPr>
          <w:ilvl w:val="0"/>
          <w:numId w:val="1004"/>
        </w:numPr>
      </w:pPr>
      <w:r>
        <w:t xml:space="preserve">Bucket 1 model evaluates only accounts observed in Bucket 1 at observation time.</w:t>
      </w:r>
    </w:p>
    <w:p>
      <w:pPr>
        <w:pStyle w:val="Compact"/>
        <w:numPr>
          <w:ilvl w:val="0"/>
          <w:numId w:val="1004"/>
        </w:numPr>
      </w:pPr>
      <w:r>
        <w:t xml:space="preserve">Cross-bucket leakage or pooled labeling should be treated as data design error.</w:t>
      </w:r>
    </w:p>
    <w:bookmarkEnd w:id="17"/>
    <w:bookmarkStart w:id="18" w:name="monitoring-focus"/>
    <w:p>
      <w:pPr>
        <w:pStyle w:val="Heading2"/>
      </w:pPr>
      <w:r>
        <w:t xml:space="preserve">Monitoring Focus</w:t>
      </w:r>
    </w:p>
    <w:p>
      <w:pPr>
        <w:pStyle w:val="Compact"/>
        <w:numPr>
          <w:ilvl w:val="0"/>
          <w:numId w:val="1005"/>
        </w:numPr>
      </w:pPr>
      <w:r>
        <w:t xml:space="preserve">Transition rates by bucket and product.</w:t>
      </w:r>
    </w:p>
    <w:p>
      <w:pPr>
        <w:pStyle w:val="Compact"/>
        <w:numPr>
          <w:ilvl w:val="0"/>
          <w:numId w:val="1005"/>
        </w:numPr>
      </w:pPr>
      <w:r>
        <w:t xml:space="preserve">Cure and redefault behavior after interventions.</w:t>
      </w:r>
    </w:p>
    <w:p>
      <w:pPr>
        <w:pStyle w:val="Compact"/>
        <w:numPr>
          <w:ilvl w:val="0"/>
          <w:numId w:val="1005"/>
        </w:numPr>
      </w:pPr>
      <w:r>
        <w:t xml:space="preserve">Roll-forward concentration by segment and vintage.</w:t>
      </w:r>
    </w:p>
    <w:p>
      <w:pPr>
        <w:pStyle w:val="Compact"/>
        <w:numPr>
          <w:ilvl w:val="0"/>
          <w:numId w:val="1005"/>
        </w:numPr>
      </w:pPr>
      <w:r>
        <w:t xml:space="preserve">Data quality checks for delinquency status coding and timing.</w:t>
      </w:r>
    </w:p>
    <w:bookmarkEnd w:id="18"/>
    <w:bookmarkStart w:id="22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MODEL_INVENTORY.md</w:t>
        </w:r>
      </w:hyperlink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B_SCORE.md</w:t>
        </w:r>
      </w:hyperlink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../policies/MODEL_MONITORING_POLICY.md</w:t>
        </w:r>
      </w:hyperlink>
    </w:p>
    <w:bookmarkEnd w:id="22"/>
    <w:bookmarkStart w:id="23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when interpreting collections transition signals and when drafting bucket-specific findings and recommendations.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policies/MODEL_MONITORING_POLICY.md" TargetMode="External" /><Relationship Type="http://schemas.openxmlformats.org/officeDocument/2006/relationships/hyperlink" Id="rId20" Target="B_SCORE.md" TargetMode="External" /><Relationship Type="http://schemas.openxmlformats.org/officeDocument/2006/relationships/hyperlink" Id="rId19" Target="MODEL_INVEN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policies/MODEL_MONITORING_POLICY.md" TargetMode="External" /><Relationship Type="http://schemas.openxmlformats.org/officeDocument/2006/relationships/hyperlink" Id="rId20" Target="B_SCORE.md" TargetMode="External" /><Relationship Type="http://schemas.openxmlformats.org/officeDocument/2006/relationships/hyperlink" Id="rId19" Target="MODEL_INVEN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