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calation-matrix"/>
    <w:p>
      <w:pPr>
        <w:pStyle w:val="Heading1"/>
      </w:pPr>
      <w:r>
        <w:t xml:space="preserve">Escalation Matrix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Green, Amber, and Red escalation paths, response times, and required evidence.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model monitoring, investigation findings, and governance exceptions.</w:t>
      </w:r>
    </w:p>
    <w:bookmarkEnd w:id="11"/>
    <w:bookmarkStart w:id="12" w:name="roles"/>
    <w:p>
      <w:pPr>
        <w:pStyle w:val="Heading2"/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t xml:space="preserve">Model Owner</w:t>
      </w:r>
    </w:p>
    <w:p>
      <w:pPr>
        <w:pStyle w:val="Compact"/>
        <w:numPr>
          <w:ilvl w:val="0"/>
          <w:numId w:val="1002"/>
        </w:numPr>
      </w:pPr>
      <w:r>
        <w:t xml:space="preserve">Model Risk</w:t>
      </w:r>
    </w:p>
    <w:p>
      <w:pPr>
        <w:pStyle w:val="Compact"/>
        <w:numPr>
          <w:ilvl w:val="0"/>
          <w:numId w:val="1002"/>
        </w:numPr>
      </w:pPr>
      <w:r>
        <w:t xml:space="preserve">Data Owner</w:t>
      </w:r>
    </w:p>
    <w:p>
      <w:pPr>
        <w:pStyle w:val="Compact"/>
        <w:numPr>
          <w:ilvl w:val="0"/>
          <w:numId w:val="1002"/>
        </w:numPr>
      </w:pPr>
      <w:r>
        <w:t xml:space="preserve">Technology Owner</w:t>
      </w:r>
    </w:p>
    <w:p>
      <w:pPr>
        <w:pStyle w:val="Compact"/>
        <w:numPr>
          <w:ilvl w:val="0"/>
          <w:numId w:val="1002"/>
        </w:numPr>
      </w:pPr>
      <w:r>
        <w:t xml:space="preserve">Business Owner</w:t>
      </w:r>
    </w:p>
    <w:p>
      <w:pPr>
        <w:pStyle w:val="Compact"/>
        <w:numPr>
          <w:ilvl w:val="0"/>
          <w:numId w:val="1002"/>
        </w:numPr>
      </w:pPr>
      <w:r>
        <w:t xml:space="preserve">Governance Committee</w:t>
      </w:r>
    </w:p>
    <w:bookmarkEnd w:id="12"/>
    <w:bookmarkStart w:id="13" w:name="escalation-levels"/>
    <w:p>
      <w:pPr>
        <w:pStyle w:val="Heading2"/>
      </w:pPr>
      <w:r>
        <w:t xml:space="preserve">Escalation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Typical Condition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Required Evidence</w:t>
            </w:r>
          </w:p>
        </w:tc>
        <w:tc>
          <w:tcPr/>
          <w:p>
            <w:pPr>
              <w:pStyle w:val="Compact"/>
            </w:pPr>
            <w:r>
              <w:t xml:space="preserve">Required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variation within policy limits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  <w:tc>
          <w:tcPr/>
          <w:p>
            <w:pPr>
              <w:pStyle w:val="Compact"/>
            </w:pPr>
            <w:r>
              <w:t xml:space="preserve">Monitoring summary, metric extract, policy check output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Material warning or repeated minor breach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Investigation note, evidence ledger, impact assessment</w:t>
            </w:r>
          </w:p>
        </w:tc>
        <w:tc>
          <w:tcPr/>
          <w:p>
            <w:pPr>
              <w:pStyle w:val="Compact"/>
            </w:pPr>
            <w:r>
              <w:t xml:space="preserve">Model Owner, Model Risk, Data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Severe breach, applicability failure, implementation risk, or governance expiry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Full investigation pack, root-cause evidence, remediation recommendation, approval request</w:t>
            </w:r>
          </w:p>
        </w:tc>
        <w:tc>
          <w:tcPr/>
          <w:p>
            <w:pPr>
              <w:pStyle w:val="Compact"/>
            </w:pPr>
            <w:r>
              <w:t xml:space="preserve">Model Owner, Model Risk, Data Owner, Technology Owner, Business Owner, Governance Committee</w:t>
            </w:r>
          </w:p>
        </w:tc>
      </w:tr>
    </w:tbl>
    <w:bookmarkEnd w:id="13"/>
    <w:bookmarkStart w:id="14" w:name="automatic-escalation-conditions"/>
    <w:p>
      <w:pPr>
        <w:pStyle w:val="Heading2"/>
      </w:pPr>
      <w:r>
        <w:t xml:space="preserve">Automatic Escalation Conditions</w:t>
      </w:r>
    </w:p>
    <w:p>
      <w:pPr>
        <w:pStyle w:val="Compact"/>
        <w:numPr>
          <w:ilvl w:val="0"/>
          <w:numId w:val="1003"/>
        </w:numPr>
      </w:pPr>
      <w:r>
        <w:t xml:space="preserve">Any Red threshold in applicability controls.</w:t>
      </w:r>
    </w:p>
    <w:p>
      <w:pPr>
        <w:pStyle w:val="Compact"/>
        <w:numPr>
          <w:ilvl w:val="0"/>
          <w:numId w:val="1003"/>
        </w:numPr>
      </w:pPr>
      <w:r>
        <w:t xml:space="preserve">Persistent model-version mismatch.</w:t>
      </w:r>
    </w:p>
    <w:p>
      <w:pPr>
        <w:pStyle w:val="Compact"/>
        <w:numPr>
          <w:ilvl w:val="0"/>
          <w:numId w:val="1003"/>
        </w:numPr>
      </w:pPr>
      <w:r>
        <w:t xml:space="preserve">Validation expired.</w:t>
      </w:r>
    </w:p>
    <w:p>
      <w:pPr>
        <w:pStyle w:val="Compact"/>
        <w:numPr>
          <w:ilvl w:val="0"/>
          <w:numId w:val="1003"/>
        </w:numPr>
      </w:pPr>
      <w:r>
        <w:t xml:space="preserve">Repeated Amber over three consecutive cycles.</w:t>
      </w:r>
    </w:p>
    <w:p>
      <w:pPr>
        <w:pStyle w:val="Compact"/>
        <w:numPr>
          <w:ilvl w:val="0"/>
          <w:numId w:val="1003"/>
        </w:numPr>
      </w:pPr>
      <w:r>
        <w:t xml:space="preserve">Contradictory evidence that invalidates prior Green or Amber conclusion.</w:t>
      </w:r>
    </w:p>
    <w:bookmarkEnd w:id="14"/>
    <w:bookmarkStart w:id="15" w:name="evidence-minimum"/>
    <w:p>
      <w:pPr>
        <w:pStyle w:val="Heading2"/>
      </w:pPr>
      <w:r>
        <w:t xml:space="preserve">Evidence Minimum</w:t>
      </w:r>
    </w:p>
    <w:p>
      <w:pPr>
        <w:pStyle w:val="Compact"/>
        <w:numPr>
          <w:ilvl w:val="0"/>
          <w:numId w:val="1004"/>
        </w:numPr>
      </w:pPr>
      <w:r>
        <w:t xml:space="preserve">Evidence IDs and source references.</w:t>
      </w:r>
    </w:p>
    <w:p>
      <w:pPr>
        <w:pStyle w:val="Compact"/>
        <w:numPr>
          <w:ilvl w:val="0"/>
          <w:numId w:val="1004"/>
        </w:numPr>
      </w:pPr>
      <w:r>
        <w:t xml:space="preserve">Deterministic metric outputs.</w:t>
      </w:r>
    </w:p>
    <w:p>
      <w:pPr>
        <w:pStyle w:val="Compact"/>
        <w:numPr>
          <w:ilvl w:val="0"/>
          <w:numId w:val="1004"/>
        </w:numPr>
      </w:pPr>
      <w:r>
        <w:t xml:space="preserve">Policy version used for evaluation.</w:t>
      </w:r>
    </w:p>
    <w:p>
      <w:pPr>
        <w:pStyle w:val="Compact"/>
        <w:numPr>
          <w:ilvl w:val="0"/>
          <w:numId w:val="1004"/>
        </w:numPr>
      </w:pPr>
      <w:r>
        <w:t xml:space="preserve">Trace of tool call or workflow run that produced key values.</w:t>
      </w:r>
    </w:p>
    <w:bookmarkEnd w:id="15"/>
    <w:bookmarkStart w:id="19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THRESHOLD_MATRIX.md</w:t>
        </w:r>
      </w:hyperlink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REMEDIATION_PLAYBOOK.md</w:t>
        </w:r>
      </w:hyperlink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../governance/COMMITTEE_GUIDELINES.md</w:t>
        </w:r>
      </w:hyperlink>
    </w:p>
    <w:bookmarkEnd w:id="19"/>
    <w:bookmarkStart w:id="20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matrix to route stakeholders, set urgency in generated summaries, and confirm minimum evidence before escalation recommendation.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governance/COMMITTEE_GUIDELINES.md" TargetMode="External" /><Relationship Type="http://schemas.openxmlformats.org/officeDocument/2006/relationships/hyperlink" Id="rId17" Target="REMEDIATION_PLAYBOOK.md" TargetMode="External" /><Relationship Type="http://schemas.openxmlformats.org/officeDocument/2006/relationships/hyperlink" Id="rId16" Target="THRESHOLD_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governance/COMMITTEE_GUIDELINES.md" TargetMode="External" /><Relationship Type="http://schemas.openxmlformats.org/officeDocument/2006/relationships/hyperlink" Id="rId17" Target="REMEDIATION_PLAYBOOK.md" TargetMode="External" /><Relationship Type="http://schemas.openxmlformats.org/officeDocument/2006/relationships/hyperlink" Id="rId16" Target="THRESHOLD_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