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uman-approval-policy"/>
    <w:p>
      <w:pPr>
        <w:pStyle w:val="Heading1"/>
      </w:pPr>
      <w:r>
        <w:t xml:space="preserve">Human Approval Policy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mandatory human decision points for material model governance actions.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Applies to recommendations generated by AI Assurance monitoring, investigation, and governance agents.</w:t>
      </w:r>
    </w:p>
    <w:bookmarkEnd w:id="11"/>
    <w:bookmarkStart w:id="12" w:name="outputs-requiring-human-approval"/>
    <w:p>
      <w:pPr>
        <w:pStyle w:val="Heading2"/>
      </w:pPr>
      <w:r>
        <w:t xml:space="preserve">Outputs Requiring Human Approval</w:t>
      </w:r>
    </w:p>
    <w:p>
      <w:pPr>
        <w:pStyle w:val="Compact"/>
        <w:numPr>
          <w:ilvl w:val="0"/>
          <w:numId w:val="1002"/>
        </w:numPr>
      </w:pPr>
      <w:r>
        <w:t xml:space="preserve">Recalibration proposals.</w:t>
      </w:r>
    </w:p>
    <w:p>
      <w:pPr>
        <w:pStyle w:val="Compact"/>
        <w:numPr>
          <w:ilvl w:val="0"/>
          <w:numId w:val="1002"/>
        </w:numPr>
      </w:pPr>
      <w:r>
        <w:t xml:space="preserve">Temporary use restriction proposals.</w:t>
      </w:r>
    </w:p>
    <w:p>
      <w:pPr>
        <w:pStyle w:val="Compact"/>
        <w:numPr>
          <w:ilvl w:val="0"/>
          <w:numId w:val="1002"/>
        </w:numPr>
      </w:pPr>
      <w:r>
        <w:t xml:space="preserve">Redevelopment and retirement recommendations.</w:t>
      </w:r>
    </w:p>
    <w:p>
      <w:pPr>
        <w:pStyle w:val="Compact"/>
        <w:numPr>
          <w:ilvl w:val="0"/>
          <w:numId w:val="1002"/>
        </w:numPr>
      </w:pPr>
      <w:r>
        <w:t xml:space="preserve">Material applicability and implementation exceptions.</w:t>
      </w:r>
    </w:p>
    <w:p>
      <w:pPr>
        <w:pStyle w:val="Compact"/>
        <w:numPr>
          <w:ilvl w:val="0"/>
          <w:numId w:val="1002"/>
        </w:numPr>
      </w:pPr>
      <w:r>
        <w:t xml:space="preserve">Committee-level escalation outcomes.</w:t>
      </w:r>
    </w:p>
    <w:bookmarkEnd w:id="12"/>
    <w:bookmarkStart w:id="13" w:name="allowed-human-decisions"/>
    <w:p>
      <w:pPr>
        <w:pStyle w:val="Heading2"/>
      </w:pPr>
      <w:r>
        <w:t xml:space="preserve">Allowed Human Decisions</w:t>
      </w:r>
    </w:p>
    <w:p>
      <w:pPr>
        <w:pStyle w:val="Compact"/>
        <w:numPr>
          <w:ilvl w:val="0"/>
          <w:numId w:val="1003"/>
        </w:numPr>
      </w:pPr>
      <w:r>
        <w:t xml:space="preserve">Approve.</w:t>
      </w:r>
    </w:p>
    <w:p>
      <w:pPr>
        <w:pStyle w:val="Compact"/>
        <w:numPr>
          <w:ilvl w:val="0"/>
          <w:numId w:val="1003"/>
        </w:numPr>
      </w:pPr>
      <w:r>
        <w:t xml:space="preserve">Approve with modification.</w:t>
      </w:r>
    </w:p>
    <w:p>
      <w:pPr>
        <w:pStyle w:val="Compact"/>
        <w:numPr>
          <w:ilvl w:val="0"/>
          <w:numId w:val="1003"/>
        </w:numPr>
      </w:pPr>
      <w:r>
        <w:t xml:space="preserve">Request further analysis.</w:t>
      </w:r>
    </w:p>
    <w:p>
      <w:pPr>
        <w:pStyle w:val="Compact"/>
        <w:numPr>
          <w:ilvl w:val="0"/>
          <w:numId w:val="1003"/>
        </w:numPr>
      </w:pPr>
      <w:r>
        <w:t xml:space="preserve">Reject.</w:t>
      </w:r>
    </w:p>
    <w:p>
      <w:pPr>
        <w:pStyle w:val="Compact"/>
        <w:numPr>
          <w:ilvl w:val="0"/>
          <w:numId w:val="1003"/>
        </w:numPr>
      </w:pPr>
      <w:r>
        <w:t xml:space="preserve">Defer.</w:t>
      </w:r>
    </w:p>
    <w:bookmarkEnd w:id="13"/>
    <w:bookmarkStart w:id="14" w:name="override-requirement"/>
    <w:p>
      <w:pPr>
        <w:pStyle w:val="Heading2"/>
      </w:pPr>
      <w:r>
        <w:t xml:space="preserve">Override Requirement</w:t>
      </w:r>
    </w:p>
    <w:p>
      <w:pPr>
        <w:pStyle w:val="Compact"/>
        <w:numPr>
          <w:ilvl w:val="0"/>
          <w:numId w:val="1004"/>
        </w:numPr>
      </w:pPr>
      <w:r>
        <w:t xml:space="preserve">Any decision that modifies the recommended action must include rationale.</w:t>
      </w:r>
    </w:p>
    <w:p>
      <w:pPr>
        <w:pStyle w:val="Compact"/>
        <w:numPr>
          <w:ilvl w:val="0"/>
          <w:numId w:val="1004"/>
        </w:numPr>
      </w:pPr>
      <w:r>
        <w:t xml:space="preserve">Rationale should reference evidence IDs, policy basis, and expected impact.</w:t>
      </w:r>
    </w:p>
    <w:bookmarkEnd w:id="14"/>
    <w:bookmarkStart w:id="15" w:name="hard-control-statement"/>
    <w:p>
      <w:pPr>
        <w:pStyle w:val="Heading2"/>
      </w:pPr>
      <w:r>
        <w:t xml:space="preserve">Hard Control Statement</w:t>
      </w:r>
    </w:p>
    <w:p>
      <w:pPr>
        <w:pStyle w:val="FirstParagraph"/>
      </w:pPr>
      <w:r>
        <w:t xml:space="preserve">AI Assurance cannot independently deploy, recalibrate, restrict, or retire a model.</w:t>
      </w:r>
    </w:p>
    <w:bookmarkEnd w:id="15"/>
    <w:bookmarkStart w:id="16" w:name="decision-record-minimum-fields"/>
    <w:p>
      <w:pPr>
        <w:pStyle w:val="Heading2"/>
      </w:pPr>
      <w:r>
        <w:t xml:space="preserve">Decision Record Minimum Fields</w:t>
      </w:r>
    </w:p>
    <w:p>
      <w:pPr>
        <w:pStyle w:val="Compact"/>
        <w:numPr>
          <w:ilvl w:val="0"/>
          <w:numId w:val="1005"/>
        </w:numPr>
      </w:pPr>
      <w:r>
        <w:t xml:space="preserve">Decision type.</w:t>
      </w:r>
    </w:p>
    <w:p>
      <w:pPr>
        <w:pStyle w:val="Compact"/>
        <w:numPr>
          <w:ilvl w:val="0"/>
          <w:numId w:val="1005"/>
        </w:numPr>
      </w:pPr>
      <w:r>
        <w:t xml:space="preserve">Decision maker and role.</w:t>
      </w:r>
    </w:p>
    <w:p>
      <w:pPr>
        <w:pStyle w:val="Compact"/>
        <w:numPr>
          <w:ilvl w:val="0"/>
          <w:numId w:val="1005"/>
        </w:numPr>
      </w:pPr>
      <w:r>
        <w:t xml:space="preserve">Timestamp.</w:t>
      </w:r>
    </w:p>
    <w:p>
      <w:pPr>
        <w:pStyle w:val="Compact"/>
        <w:numPr>
          <w:ilvl w:val="0"/>
          <w:numId w:val="1005"/>
        </w:numPr>
      </w:pPr>
      <w:r>
        <w:t xml:space="preserve">Rationale.</w:t>
      </w:r>
    </w:p>
    <w:p>
      <w:pPr>
        <w:pStyle w:val="Compact"/>
        <w:numPr>
          <w:ilvl w:val="0"/>
          <w:numId w:val="1005"/>
        </w:numPr>
      </w:pPr>
      <w:r>
        <w:t xml:space="preserve">Related evidence IDs.</w:t>
      </w:r>
    </w:p>
    <w:p>
      <w:pPr>
        <w:pStyle w:val="Compact"/>
        <w:numPr>
          <w:ilvl w:val="0"/>
          <w:numId w:val="1005"/>
        </w:numPr>
      </w:pPr>
      <w:r>
        <w:t xml:space="preserve">Follow-up action owner and due date.</w:t>
      </w:r>
    </w:p>
    <w:bookmarkEnd w:id="16"/>
    <w:bookmarkStart w:id="20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REMEDIATION_PLAYBOOK.md</w:t>
        </w:r>
      </w:hyperlink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ESCALATION_MATRIX.md</w:t>
        </w:r>
      </w:hyperlink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../governance/COMMITTEE_GUIDELINES.md</w:t>
        </w:r>
      </w:hyperlink>
    </w:p>
    <w:bookmarkEnd w:id="20"/>
    <w:bookmarkStart w:id="21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to determine when to stop at recommendation, route to human decision, and capture required decision metadata in generated outputs.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governance/COMMITTEE_GUIDELINES.md" TargetMode="External" /><Relationship Type="http://schemas.openxmlformats.org/officeDocument/2006/relationships/hyperlink" Id="rId18" Target="ESCALATION_MATRIX.md" TargetMode="External" /><Relationship Type="http://schemas.openxmlformats.org/officeDocument/2006/relationships/hyperlink" Id="rId17" Target="REMEDIATION_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governance/COMMITTEE_GUIDELINES.md" TargetMode="External" /><Relationship Type="http://schemas.openxmlformats.org/officeDocument/2006/relationships/hyperlink" Id="rId18" Target="ESCALATION_MATRIX.md" TargetMode="External" /><Relationship Type="http://schemas.openxmlformats.org/officeDocument/2006/relationships/hyperlink" Id="rId17" Target="REMEDIATION_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