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odel-monitoring-policy"/>
    <w:p>
      <w:pPr>
        <w:pStyle w:val="Heading1"/>
      </w:pPr>
      <w:r>
        <w:t xml:space="preserve">Model Monitoring Policy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Monthly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minimum monitoring objectives, review areas, and governance constraints for AI Assurance.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 Score, B Score, and C Score monitoring across Credit Card, Speedy Cash, and Speedy Loan.</w:t>
      </w:r>
    </w:p>
    <w:bookmarkEnd w:id="11"/>
    <w:bookmarkStart w:id="12" w:name="monitoring-objectives"/>
    <w:p>
      <w:pPr>
        <w:pStyle w:val="Heading2"/>
      </w:pPr>
      <w:r>
        <w:t xml:space="preserve">Monitoring Objectives</w:t>
      </w:r>
    </w:p>
    <w:p>
      <w:pPr>
        <w:pStyle w:val="Compact"/>
        <w:numPr>
          <w:ilvl w:val="0"/>
          <w:numId w:val="1002"/>
        </w:numPr>
      </w:pPr>
      <w:r>
        <w:t xml:space="preserve">Detect material deterioration, instability, or implementation error.</w:t>
      </w:r>
    </w:p>
    <w:p>
      <w:pPr>
        <w:pStyle w:val="Compact"/>
        <w:numPr>
          <w:ilvl w:val="0"/>
          <w:numId w:val="1002"/>
        </w:numPr>
      </w:pPr>
      <w:r>
        <w:t xml:space="preserve">Separate data quality issues from model logic issues.</w:t>
      </w:r>
    </w:p>
    <w:p>
      <w:pPr>
        <w:pStyle w:val="Compact"/>
        <w:numPr>
          <w:ilvl w:val="0"/>
          <w:numId w:val="1002"/>
        </w:numPr>
      </w:pPr>
      <w:r>
        <w:t xml:space="preserve">Ensure model usage remains within validated scope and eligibility rules.</w:t>
      </w:r>
    </w:p>
    <w:p>
      <w:pPr>
        <w:pStyle w:val="Compact"/>
        <w:numPr>
          <w:ilvl w:val="0"/>
          <w:numId w:val="1002"/>
        </w:numPr>
      </w:pPr>
      <w:r>
        <w:t xml:space="preserve">Route material actions to human approval.</w:t>
      </w:r>
    </w:p>
    <w:bookmarkEnd w:id="12"/>
    <w:bookmarkStart w:id="13" w:name="minimum-review-areas"/>
    <w:p>
      <w:pPr>
        <w:pStyle w:val="Heading2"/>
      </w:pPr>
      <w:r>
        <w:t xml:space="preserve">Minimum Review Areas</w:t>
      </w:r>
    </w:p>
    <w:p>
      <w:pPr>
        <w:pStyle w:val="Compact"/>
        <w:numPr>
          <w:ilvl w:val="0"/>
          <w:numId w:val="1003"/>
        </w:numPr>
      </w:pPr>
      <w:r>
        <w:t xml:space="preserve">Data quality.</w:t>
      </w:r>
    </w:p>
    <w:p>
      <w:pPr>
        <w:pStyle w:val="Compact"/>
        <w:numPr>
          <w:ilvl w:val="0"/>
          <w:numId w:val="1003"/>
        </w:numPr>
      </w:pPr>
      <w:r>
        <w:t xml:space="preserve">Applicability.</w:t>
      </w:r>
    </w:p>
    <w:p>
      <w:pPr>
        <w:pStyle w:val="Compact"/>
        <w:numPr>
          <w:ilvl w:val="0"/>
          <w:numId w:val="1003"/>
        </w:numPr>
      </w:pPr>
      <w:r>
        <w:t xml:space="preserve">Stability.</w:t>
      </w:r>
    </w:p>
    <w:p>
      <w:pPr>
        <w:pStyle w:val="Compact"/>
        <w:numPr>
          <w:ilvl w:val="0"/>
          <w:numId w:val="1003"/>
        </w:numPr>
      </w:pPr>
      <w:r>
        <w:t xml:space="preserve">Discrimination.</w:t>
      </w:r>
    </w:p>
    <w:p>
      <w:pPr>
        <w:pStyle w:val="Compact"/>
        <w:numPr>
          <w:ilvl w:val="0"/>
          <w:numId w:val="1003"/>
        </w:numPr>
      </w:pPr>
      <w:r>
        <w:t xml:space="preserve">Calibration.</w:t>
      </w:r>
    </w:p>
    <w:p>
      <w:pPr>
        <w:pStyle w:val="Compact"/>
        <w:numPr>
          <w:ilvl w:val="0"/>
          <w:numId w:val="1003"/>
        </w:numPr>
      </w:pPr>
      <w:r>
        <w:t xml:space="preserve">Segment performance.</w:t>
      </w:r>
    </w:p>
    <w:p>
      <w:pPr>
        <w:pStyle w:val="Compact"/>
        <w:numPr>
          <w:ilvl w:val="0"/>
          <w:numId w:val="1003"/>
        </w:numPr>
      </w:pPr>
      <w:r>
        <w:t xml:space="preserve">Operational implementation.</w:t>
      </w:r>
    </w:p>
    <w:p>
      <w:pPr>
        <w:pStyle w:val="Compact"/>
        <w:numPr>
          <w:ilvl w:val="0"/>
          <w:numId w:val="1003"/>
        </w:numPr>
      </w:pPr>
      <w:r>
        <w:t xml:space="preserve">Governance status.</w:t>
      </w:r>
    </w:p>
    <w:bookmarkEnd w:id="13"/>
    <w:bookmarkStart w:id="14" w:name="operating-rules"/>
    <w:p>
      <w:pPr>
        <w:pStyle w:val="Heading2"/>
      </w:pPr>
      <w:r>
        <w:t xml:space="preserve">Operating Rules</w:t>
      </w:r>
    </w:p>
    <w:p>
      <w:pPr>
        <w:pStyle w:val="Compact"/>
        <w:numPr>
          <w:ilvl w:val="0"/>
          <w:numId w:val="1004"/>
        </w:numPr>
      </w:pPr>
      <w:r>
        <w:t xml:space="preserve">Deterministic metrics must be calculated outside the LLM.</w:t>
      </w:r>
    </w:p>
    <w:p>
      <w:pPr>
        <w:pStyle w:val="Compact"/>
        <w:numPr>
          <w:ilvl w:val="0"/>
          <w:numId w:val="1004"/>
        </w:numPr>
      </w:pPr>
      <w:r>
        <w:t xml:space="preserve">Agents may interpret deterministic outputs but cannot fabricate metric values.</w:t>
      </w:r>
    </w:p>
    <w:p>
      <w:pPr>
        <w:pStyle w:val="Compact"/>
        <w:numPr>
          <w:ilvl w:val="0"/>
          <w:numId w:val="1004"/>
        </w:numPr>
      </w:pPr>
      <w:r>
        <w:t xml:space="preserve">Immature performance windows cannot be used for outcome monitoring conclusions.</w:t>
      </w:r>
    </w:p>
    <w:p>
      <w:pPr>
        <w:pStyle w:val="Compact"/>
        <w:numPr>
          <w:ilvl w:val="0"/>
          <w:numId w:val="1004"/>
        </w:numPr>
      </w:pPr>
      <w:r>
        <w:t xml:space="preserve">Monitoring output must distinguish observed fact, inference, and recommendation.</w:t>
      </w:r>
    </w:p>
    <w:p>
      <w:pPr>
        <w:pStyle w:val="Compact"/>
        <w:numPr>
          <w:ilvl w:val="0"/>
          <w:numId w:val="1004"/>
        </w:numPr>
      </w:pPr>
      <w:r>
        <w:t xml:space="preserve">Agents recommend actions; humans approve material actions.</w:t>
      </w:r>
    </w:p>
    <w:bookmarkEnd w:id="14"/>
    <w:bookmarkStart w:id="15" w:name="applicability-controls"/>
    <w:p>
      <w:pPr>
        <w:pStyle w:val="Heading2"/>
      </w:pPr>
      <w:r>
        <w:t xml:space="preserve">Applicability Controls</w:t>
      </w:r>
    </w:p>
    <w:p>
      <w:pPr>
        <w:pStyle w:val="Compact"/>
        <w:numPr>
          <w:ilvl w:val="0"/>
          <w:numId w:val="1005"/>
        </w:numPr>
      </w:pPr>
      <w:r>
        <w:t xml:space="preserve">B Score must be applied only when MOB &gt;= 6.</w:t>
      </w:r>
    </w:p>
    <w:p>
      <w:pPr>
        <w:pStyle w:val="Compact"/>
        <w:numPr>
          <w:ilvl w:val="0"/>
          <w:numId w:val="1005"/>
        </w:numPr>
      </w:pPr>
      <w:r>
        <w:t xml:space="preserve">A Score is acquisition-only and must not be interpreted as post-booking monthly score.</w:t>
      </w:r>
    </w:p>
    <w:p>
      <w:pPr>
        <w:pStyle w:val="Compact"/>
        <w:numPr>
          <w:ilvl w:val="0"/>
          <w:numId w:val="1005"/>
        </w:numPr>
      </w:pPr>
      <w:r>
        <w:t xml:space="preserve">C Score monitoring must stay bucket-specific.</w:t>
      </w:r>
    </w:p>
    <w:bookmarkEnd w:id="15"/>
    <w:bookmarkStart w:id="20" w:name="governance-linkage"/>
    <w:p>
      <w:pPr>
        <w:pStyle w:val="Heading2"/>
      </w:pPr>
      <w:r>
        <w:t xml:space="preserve">Governance Linkage</w:t>
      </w:r>
    </w:p>
    <w:p>
      <w:pPr>
        <w:pStyle w:val="Compact"/>
        <w:numPr>
          <w:ilvl w:val="0"/>
          <w:numId w:val="1006"/>
        </w:numPr>
      </w:pPr>
      <w:r>
        <w:t xml:space="preserve">Threshold interpretation:</w:t>
      </w:r>
      <w:r>
        <w:t xml:space="preserve"> </w:t>
      </w:r>
      <w:hyperlink r:id="rId16">
        <w:r>
          <w:rPr>
            <w:rStyle w:val="Hyperlink"/>
          </w:rPr>
          <w:t xml:space="preserve">THRESHOLD_MATRIX.md</w:t>
        </w:r>
      </w:hyperlink>
    </w:p>
    <w:p>
      <w:pPr>
        <w:pStyle w:val="Compact"/>
        <w:numPr>
          <w:ilvl w:val="0"/>
          <w:numId w:val="1006"/>
        </w:numPr>
      </w:pPr>
      <w:r>
        <w:t xml:space="preserve">Escalation path:</w:t>
      </w:r>
      <w:r>
        <w:t xml:space="preserve"> </w:t>
      </w:r>
      <w:hyperlink r:id="rId17">
        <w:r>
          <w:rPr>
            <w:rStyle w:val="Hyperlink"/>
          </w:rPr>
          <w:t xml:space="preserve">ESCALATION_MATRIX.md</w:t>
        </w:r>
      </w:hyperlink>
    </w:p>
    <w:p>
      <w:pPr>
        <w:pStyle w:val="Compact"/>
        <w:numPr>
          <w:ilvl w:val="0"/>
          <w:numId w:val="1006"/>
        </w:numPr>
      </w:pPr>
      <w:r>
        <w:t xml:space="preserve">Remediation options:</w:t>
      </w:r>
      <w:r>
        <w:t xml:space="preserve"> </w:t>
      </w:r>
      <w:hyperlink r:id="rId18">
        <w:r>
          <w:rPr>
            <w:rStyle w:val="Hyperlink"/>
          </w:rPr>
          <w:t xml:space="preserve">REMEDIATION_PLAYBOOK.md</w:t>
        </w:r>
      </w:hyperlink>
    </w:p>
    <w:p>
      <w:pPr>
        <w:pStyle w:val="Compact"/>
        <w:numPr>
          <w:ilvl w:val="0"/>
          <w:numId w:val="1006"/>
        </w:numPr>
      </w:pPr>
      <w:r>
        <w:t xml:space="preserve">Human decisions:</w:t>
      </w:r>
      <w:r>
        <w:t xml:space="preserve"> </w:t>
      </w:r>
      <w:hyperlink r:id="rId19">
        <w:r>
          <w:rPr>
            <w:rStyle w:val="Hyperlink"/>
          </w:rPr>
          <w:t xml:space="preserve">HUMAN_APPROVAL_POLICY.md</w:t>
        </w:r>
      </w:hyperlink>
    </w:p>
    <w:bookmarkEnd w:id="20"/>
    <w:bookmarkStart w:id="21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as the base policy frame for monitoring narratives, policy checks, and recommendation gating.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SCALATION_MATRIX.md" TargetMode="External" /><Relationship Type="http://schemas.openxmlformats.org/officeDocument/2006/relationships/hyperlink" Id="rId19" Target="HUMAN_APPROVAL_POLICY.md" TargetMode="External" /><Relationship Type="http://schemas.openxmlformats.org/officeDocument/2006/relationships/hyperlink" Id="rId18" Target="REMEDIATION_PLAYBOOK.md" TargetMode="External" /><Relationship Type="http://schemas.openxmlformats.org/officeDocument/2006/relationships/hyperlink" Id="rId16" Target="THRESHOLD_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SCALATION_MATRIX.md" TargetMode="External" /><Relationship Type="http://schemas.openxmlformats.org/officeDocument/2006/relationships/hyperlink" Id="rId19" Target="HUMAN_APPROVAL_POLICY.md" TargetMode="External" /><Relationship Type="http://schemas.openxmlformats.org/officeDocument/2006/relationships/hyperlink" Id="rId18" Target="REMEDIATION_PLAYBOOK.md" TargetMode="External" /><Relationship Type="http://schemas.openxmlformats.org/officeDocument/2006/relationships/hyperlink" Id="rId16" Target="THRESHOLD_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