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mediation-playbook"/>
    <w:p>
      <w:pPr>
        <w:pStyle w:val="Heading1"/>
      </w:pPr>
      <w:r>
        <w:t xml:space="preserve">Remediation Playbook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permitted remediation actions with clear triggers, owners, evidence, approval requirements, and closure criteria.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after investigation and policy classification for A Score, B Score, and C Score monitoring events.</w:t>
      </w:r>
    </w:p>
    <w:bookmarkEnd w:id="11"/>
    <w:bookmarkStart w:id="12" w:name="action-matrix"/>
    <w:p>
      <w:pPr>
        <w:pStyle w:val="Heading2"/>
      </w:pPr>
      <w:r>
        <w:t xml:space="preserve">Action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Typical Trigger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Evidence Required</w:t>
            </w:r>
          </w:p>
        </w:tc>
        <w:tc>
          <w:tcPr/>
          <w:p>
            <w:pPr>
              <w:pStyle w:val="Compac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</w:pPr>
            <w:r>
              <w:t xml:space="preserve">Closure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action</w:t>
            </w:r>
          </w:p>
        </w:tc>
        <w:tc>
          <w:tcPr/>
          <w:p>
            <w:pPr>
              <w:pStyle w:val="Compact"/>
            </w:pPr>
            <w:r>
              <w:t xml:space="preserve">Green outcome with no material risk</w:t>
            </w:r>
          </w:p>
        </w:tc>
        <w:tc>
          <w:tcPr/>
          <w:p>
            <w:pPr>
              <w:pStyle w:val="Compact"/>
            </w:pPr>
            <w:r>
              <w:t xml:space="preserve">Model Owner</w:t>
            </w:r>
          </w:p>
        </w:tc>
        <w:tc>
          <w:tcPr/>
          <w:p>
            <w:pPr>
              <w:pStyle w:val="Compact"/>
            </w:pPr>
            <w:r>
              <w:t xml:space="preserve">Monitoring summary and policy pass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One full cycle remains within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 monitoring</w:t>
            </w:r>
          </w:p>
        </w:tc>
        <w:tc>
          <w:tcPr/>
          <w:p>
            <w:pPr>
              <w:pStyle w:val="Compact"/>
            </w:pPr>
            <w:r>
              <w:t xml:space="preserve">Amber trend without confirmed root-cause severity</w:t>
            </w:r>
          </w:p>
        </w:tc>
        <w:tc>
          <w:tcPr/>
          <w:p>
            <w:pPr>
              <w:pStyle w:val="Compact"/>
            </w:pPr>
            <w:r>
              <w:t xml:space="preserve">Model Owner</w:t>
            </w:r>
          </w:p>
        </w:tc>
        <w:tc>
          <w:tcPr/>
          <w:p>
            <w:pPr>
              <w:pStyle w:val="Compact"/>
            </w:pPr>
            <w:r>
              <w:t xml:space="preserve">Trend analysis and enhanced plan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Two consecutive cycles show stabilization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remediation</w:t>
            </w:r>
          </w:p>
        </w:tc>
        <w:tc>
          <w:tcPr/>
          <w:p>
            <w:pPr>
              <w:pStyle w:val="Compact"/>
            </w:pPr>
            <w:r>
              <w:t xml:space="preserve">Confirmed data quality defect</w:t>
            </w:r>
          </w:p>
        </w:tc>
        <w:tc>
          <w:tcPr/>
          <w:p>
            <w:pPr>
              <w:pStyle w:val="Compact"/>
            </w:pPr>
            <w:r>
              <w:t xml:space="preserve">Data Owner</w:t>
            </w:r>
          </w:p>
        </w:tc>
        <w:tc>
          <w:tcPr/>
          <w:p>
            <w:pPr>
              <w:pStyle w:val="Compact"/>
            </w:pPr>
            <w:r>
              <w:t xml:space="preserve">Defect evidence, fix validation, backfill check</w:t>
            </w:r>
          </w:p>
        </w:tc>
        <w:tc>
          <w:tcPr/>
          <w:p>
            <w:pPr>
              <w:pStyle w:val="Compact"/>
            </w:pPr>
            <w:r>
              <w:t xml:space="preserve">Yes if material impact</w:t>
            </w:r>
          </w:p>
        </w:tc>
        <w:tc>
          <w:tcPr/>
          <w:p>
            <w:pPr>
              <w:pStyle w:val="Compact"/>
            </w:pPr>
            <w:r>
              <w:t xml:space="preserve">Data quality metric returns to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correction</w:t>
            </w:r>
          </w:p>
        </w:tc>
        <w:tc>
          <w:tcPr/>
          <w:p>
            <w:pPr>
              <w:pStyle w:val="Compact"/>
            </w:pPr>
            <w:r>
              <w:t xml:space="preserve">Scoring or transformation implementation error</w:t>
            </w:r>
          </w:p>
        </w:tc>
        <w:tc>
          <w:tcPr/>
          <w:p>
            <w:pPr>
              <w:pStyle w:val="Compact"/>
            </w:pPr>
            <w:r>
              <w:t xml:space="preserve">Technology Owner</w:t>
            </w:r>
          </w:p>
        </w:tc>
        <w:tc>
          <w:tcPr/>
          <w:p>
            <w:pPr>
              <w:pStyle w:val="Compact"/>
            </w:pPr>
            <w:r>
              <w:t xml:space="preserve">Incident log, correction proof, rerun evidence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Version and output alignment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Applicability correction</w:t>
            </w:r>
          </w:p>
        </w:tc>
        <w:tc>
          <w:tcPr/>
          <w:p>
            <w:pPr>
              <w:pStyle w:val="Compact"/>
            </w:pPr>
            <w:r>
              <w:t xml:space="preserve">B Score used with MOB &lt; 6 or out-of-scope usage</w:t>
            </w:r>
          </w:p>
        </w:tc>
        <w:tc>
          <w:tcPr/>
          <w:p>
            <w:pPr>
              <w:pStyle w:val="Compact"/>
            </w:pPr>
            <w:r>
              <w:t xml:space="preserve">Model Owner</w:t>
            </w:r>
          </w:p>
        </w:tc>
        <w:tc>
          <w:tcPr/>
          <w:p>
            <w:pPr>
              <w:pStyle w:val="Compact"/>
            </w:pPr>
            <w:r>
              <w:t xml:space="preserve">Applicability breach quantification and control fix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Zero violations for next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Cutoff or strategy review</w:t>
            </w:r>
          </w:p>
        </w:tc>
        <w:tc>
          <w:tcPr/>
          <w:p>
            <w:pPr>
              <w:pStyle w:val="Compact"/>
            </w:pPr>
            <w:r>
              <w:t xml:space="preserve">Segment-level risk shift impacting decisions</w:t>
            </w:r>
          </w:p>
        </w:tc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Impact simulation and governance note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Committee-approved strategy change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Recalibration</w:t>
            </w:r>
          </w:p>
        </w:tc>
        <w:tc>
          <w:tcPr/>
          <w:p>
            <w:pPr>
              <w:pStyle w:val="Compact"/>
            </w:pPr>
            <w:r>
              <w:t xml:space="preserve">Persistent calibration drift with stable implementation</w:t>
            </w:r>
          </w:p>
        </w:tc>
        <w:tc>
          <w:tcPr/>
          <w:p>
            <w:pPr>
              <w:pStyle w:val="Compact"/>
            </w:pPr>
            <w:r>
              <w:t xml:space="preserve">Model Risk</w:t>
            </w:r>
          </w:p>
        </w:tc>
        <w:tc>
          <w:tcPr/>
          <w:p>
            <w:pPr>
              <w:pStyle w:val="Compact"/>
            </w:pPr>
            <w:r>
              <w:t xml:space="preserve">Calibration evidence and challenger assessment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Approved recalibration and post-change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Challenger review</w:t>
            </w:r>
          </w:p>
        </w:tc>
        <w:tc>
          <w:tcPr/>
          <w:p>
            <w:pPr>
              <w:pStyle w:val="Compact"/>
            </w:pPr>
            <w:r>
              <w:t xml:space="preserve">Material uncertainty in current model adequacy</w:t>
            </w:r>
          </w:p>
        </w:tc>
        <w:tc>
          <w:tcPr/>
          <w:p>
            <w:pPr>
              <w:pStyle w:val="Compact"/>
            </w:pPr>
            <w:r>
              <w:t xml:space="preserve">Model Risk</w:t>
            </w:r>
          </w:p>
        </w:tc>
        <w:tc>
          <w:tcPr/>
          <w:p>
            <w:pPr>
              <w:pStyle w:val="Compact"/>
            </w:pPr>
            <w:r>
              <w:t xml:space="preserve">Challenger performance and stability comparison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Decision on champion/challenger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Redevelopment</w:t>
            </w:r>
          </w:p>
        </w:tc>
        <w:tc>
          <w:tcPr/>
          <w:p>
            <w:pPr>
              <w:pStyle w:val="Compact"/>
            </w:pPr>
            <w:r>
              <w:t xml:space="preserve">Structural deterioration or persistent model inadequacy</w:t>
            </w:r>
          </w:p>
        </w:tc>
        <w:tc>
          <w:tcPr/>
          <w:p>
            <w:pPr>
              <w:pStyle w:val="Compact"/>
            </w:pPr>
            <w:r>
              <w:t xml:space="preserve">Model Owner</w:t>
            </w:r>
          </w:p>
        </w:tc>
        <w:tc>
          <w:tcPr/>
          <w:p>
            <w:pPr>
              <w:pStyle w:val="Compact"/>
            </w:pPr>
            <w:r>
              <w:t xml:space="preserve">Redevelopment plan and timeline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model validated and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Temporary use restriction</w:t>
            </w:r>
          </w:p>
        </w:tc>
        <w:tc>
          <w:tcPr/>
          <w:p>
            <w:pPr>
              <w:pStyle w:val="Compact"/>
            </w:pPr>
            <w:r>
              <w:t xml:space="preserve">Acute risk requiring immediate containment</w:t>
            </w:r>
          </w:p>
        </w:tc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Risk statement and control measures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Restriction lifted by committee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review</w:t>
            </w:r>
          </w:p>
        </w:tc>
        <w:tc>
          <w:tcPr/>
          <w:p>
            <w:pPr>
              <w:pStyle w:val="Compact"/>
            </w:pPr>
            <w:r>
              <w:t xml:space="preserve">Model no longer fit, needed, or compliant</w:t>
            </w:r>
          </w:p>
        </w:tc>
        <w:tc>
          <w:tcPr/>
          <w:p>
            <w:pPr>
              <w:pStyle w:val="Compact"/>
            </w:pPr>
            <w:r>
              <w:t xml:space="preserve">Model Risk</w:t>
            </w:r>
          </w:p>
        </w:tc>
        <w:tc>
          <w:tcPr/>
          <w:p>
            <w:pPr>
              <w:pStyle w:val="Compact"/>
            </w:pPr>
            <w:r>
              <w:t xml:space="preserve">Retirement rationale and transition plan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Formal retirement decision logged</w:t>
            </w:r>
          </w:p>
        </w:tc>
      </w:tr>
    </w:tbl>
    <w:bookmarkEnd w:id="12"/>
    <w:bookmarkStart w:id="13" w:name="key-terms"/>
    <w:p>
      <w:pPr>
        <w:pStyle w:val="Heading2"/>
      </w:pPr>
      <w:r>
        <w:t xml:space="preserve">Key Terms</w:t>
      </w:r>
    </w:p>
    <w:p>
      <w:pPr>
        <w:pStyle w:val="Compact"/>
        <w:numPr>
          <w:ilvl w:val="0"/>
          <w:numId w:val="1002"/>
        </w:numPr>
      </w:pPr>
      <w:r>
        <w:t xml:space="preserve">Material impact: expected business or governance consequence requiring human sign-off.</w:t>
      </w:r>
    </w:p>
    <w:p>
      <w:pPr>
        <w:pStyle w:val="Compact"/>
        <w:numPr>
          <w:ilvl w:val="0"/>
          <w:numId w:val="1002"/>
        </w:numPr>
      </w:pPr>
      <w:r>
        <w:t xml:space="preserve">Closure criteria: objective endpoint required to close remediation action.</w:t>
      </w:r>
    </w:p>
    <w:bookmarkEnd w:id="13"/>
    <w:bookmarkStart w:id="17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MODEL_MONITORING_POLICY.md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HUMAN_APPROVAL_POLICY.md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../governance/EVIDENCE_GUIDELINES.md</w:t>
        </w:r>
      </w:hyperlink>
    </w:p>
    <w:bookmarkEnd w:id="17"/>
    <w:bookmarkStart w:id="18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playbook to draft action recommendations and verify that each recommendation includes owner, evidence, approval gate, and closure conditions.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governance/EVIDENCE_GUIDELINES.md" TargetMode="External" /><Relationship Type="http://schemas.openxmlformats.org/officeDocument/2006/relationships/hyperlink" Id="rId15" Target="HUMAN_APPROVAL_POLICY.md" TargetMode="External" /><Relationship Type="http://schemas.openxmlformats.org/officeDocument/2006/relationships/hyperlink" Id="rId14" Target="MODEL_MONITORING_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governance/EVIDENCE_GUIDELINES.md" TargetMode="External" /><Relationship Type="http://schemas.openxmlformats.org/officeDocument/2006/relationships/hyperlink" Id="rId15" Target="HUMAN_APPROVAL_POLICY.md" TargetMode="External" /><Relationship Type="http://schemas.openxmlformats.org/officeDocument/2006/relationships/hyperlink" Id="rId14" Target="MODEL_MONITORING_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