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hreshold-matrix"/>
    <w:p>
      <w:pPr>
        <w:pStyle w:val="Heading1"/>
      </w:pPr>
      <w:r>
        <w:t xml:space="preserve">Threshold Matrix</w:t>
      </w:r>
    </w:p>
    <w:bookmarkStart w:id="9" w:name="metadata"/>
    <w:p>
      <w:pPr>
        <w:pStyle w:val="Heading2"/>
      </w:pPr>
      <w:r>
        <w:t xml:space="preserve">Metadata</w:t>
      </w:r>
    </w:p>
    <w:p>
      <w:pPr>
        <w:pStyle w:val="Compact"/>
        <w:numPr>
          <w:ilvl w:val="0"/>
          <w:numId w:val="1001"/>
        </w:numPr>
      </w:pPr>
      <w:r>
        <w:t xml:space="preserve">Document Owner: AI Assurance Product and Governance Team</w:t>
      </w:r>
    </w:p>
    <w:p>
      <w:pPr>
        <w:pStyle w:val="Compact"/>
        <w:numPr>
          <w:ilvl w:val="0"/>
          <w:numId w:val="1001"/>
        </w:numPr>
      </w:pPr>
      <w:r>
        <w:t xml:space="preserve">Version: 1.0</w:t>
      </w:r>
    </w:p>
    <w:p>
      <w:pPr>
        <w:pStyle w:val="Compact"/>
        <w:numPr>
          <w:ilvl w:val="0"/>
          <w:numId w:val="1001"/>
        </w:numPr>
      </w:pPr>
      <w:r>
        <w:t xml:space="preserve">Effective Date: July 2026</w:t>
      </w:r>
    </w:p>
    <w:p>
      <w:pPr>
        <w:pStyle w:val="Compact"/>
        <w:numPr>
          <w:ilvl w:val="0"/>
          <w:numId w:val="1001"/>
        </w:numPr>
      </w:pPr>
      <w:r>
        <w:t xml:space="preserve">Review Frequency: Quarterly</w:t>
      </w:r>
    </w:p>
    <w:p>
      <w:pPr>
        <w:pStyle w:val="Compact"/>
        <w:numPr>
          <w:ilvl w:val="0"/>
          <w:numId w:val="1001"/>
        </w:numPr>
      </w:pPr>
      <w:r>
        <w:t xml:space="preserve">Status: Draft for Training Demonstration</w: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illustrative Green/Amber/Red thresholds for monitoring triage in AI Assurance.</w:t>
      </w:r>
    </w:p>
    <w:bookmarkEnd w:id="10"/>
    <w:bookmarkStart w:id="11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Applies to runtime interpretation of deterministic monitoring outputs.</w:t>
      </w:r>
    </w:p>
    <w:bookmarkEnd w:id="11"/>
    <w:bookmarkStart w:id="12" w:name="important-note"/>
    <w:p>
      <w:pPr>
        <w:pStyle w:val="Heading2"/>
      </w:pPr>
      <w:r>
        <w:t xml:space="preserve">Important Note</w:t>
      </w:r>
    </w:p>
    <w:p>
      <w:pPr>
        <w:pStyle w:val="FirstParagraph"/>
      </w:pPr>
      <w:r>
        <w:t xml:space="preserve">All thresholds below are synthetic demonstration thresholds and are not CardX production policy.</w:t>
      </w:r>
    </w:p>
    <w:bookmarkEnd w:id="12"/>
    <w:bookmarkStart w:id="13" w:name="synthetic-thresholds"/>
    <w:p>
      <w:pPr>
        <w:pStyle w:val="Heading2"/>
      </w:pPr>
      <w:r>
        <w:t xml:space="preserve">Synthetic Thresholds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PSI</w:t>
            </w:r>
          </w:p>
        </w:tc>
        <w:tc>
          <w:tcPr/>
          <w:p>
            <w:pPr>
              <w:pStyle w:val="Compact"/>
            </w:pPr>
            <w:r>
              <w:t xml:space="preserve">&lt; 0.10</w:t>
            </w:r>
          </w:p>
        </w:tc>
        <w:tc>
          <w:tcPr/>
          <w:p>
            <w:pPr>
              <w:pStyle w:val="Compact"/>
            </w:pPr>
            <w:r>
              <w:t xml:space="preserve">0.10 to &lt; 0.25</w:t>
            </w:r>
          </w:p>
        </w:tc>
        <w:tc>
          <w:tcPr/>
          <w:p>
            <w:pPr>
              <w:pStyle w:val="Compact"/>
            </w:pPr>
            <w:r>
              <w:t xml:space="preserve">&gt;= 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Gini decline versus reference</w:t>
            </w:r>
          </w:p>
        </w:tc>
        <w:tc>
          <w:tcPr/>
          <w:p>
            <w:pPr>
              <w:pStyle w:val="Compact"/>
            </w:pPr>
            <w:r>
              <w:t xml:space="preserve">&lt; 3 percentage points</w:t>
            </w:r>
          </w:p>
        </w:tc>
        <w:tc>
          <w:tcPr/>
          <w:p>
            <w:pPr>
              <w:pStyle w:val="Compact"/>
            </w:pPr>
            <w:r>
              <w:t xml:space="preserve">3 to &lt; 8 percentage points</w:t>
            </w:r>
          </w:p>
        </w:tc>
        <w:tc>
          <w:tcPr/>
          <w:p>
            <w:pPr>
              <w:pStyle w:val="Compact"/>
            </w:pPr>
            <w:r>
              <w:t xml:space="preserve">&gt;= 8 percentage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O/E ratio</w:t>
            </w:r>
          </w:p>
        </w:tc>
        <w:tc>
          <w:tcPr/>
          <w:p>
            <w:pPr>
              <w:pStyle w:val="Compact"/>
            </w:pPr>
            <w:r>
              <w:t xml:space="preserve">0.90 to 1.10</w:t>
            </w:r>
          </w:p>
        </w:tc>
        <w:tc>
          <w:tcPr/>
          <w:p>
            <w:pPr>
              <w:pStyle w:val="Compact"/>
            </w:pPr>
            <w:r>
              <w:t xml:space="preserve">0.80 to &lt; 0.90 or &gt; 1.10 to 1.20</w:t>
            </w:r>
          </w:p>
        </w:tc>
        <w:tc>
          <w:tcPr/>
          <w:p>
            <w:pPr>
              <w:pStyle w:val="Compact"/>
            </w:pPr>
            <w:r>
              <w:t xml:space="preserve">&lt; 0.80 or &gt; 1.20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Missingness increase in key features</w:t>
            </w:r>
          </w:p>
        </w:tc>
        <w:tc>
          <w:tcPr/>
          <w:p>
            <w:pPr>
              <w:pStyle w:val="Compact"/>
            </w:pPr>
            <w:r>
              <w:t xml:space="preserve">&lt; 2 percentage points</w:t>
            </w:r>
          </w:p>
        </w:tc>
        <w:tc>
          <w:tcPr/>
          <w:p>
            <w:pPr>
              <w:pStyle w:val="Compact"/>
            </w:pPr>
            <w:r>
              <w:t xml:space="preserve">2 to &lt; 5 percentage points</w:t>
            </w:r>
          </w:p>
        </w:tc>
        <w:tc>
          <w:tcPr/>
          <w:p>
            <w:pPr>
              <w:pStyle w:val="Compact"/>
            </w:pPr>
            <w:r>
              <w:t xml:space="preserve">&gt;= 5 percentage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Sample-size sufficiency (eligible records)</w:t>
            </w:r>
          </w:p>
        </w:tc>
        <w:tc>
          <w:tcPr/>
          <w:p>
            <w:pPr>
              <w:pStyle w:val="Compact"/>
            </w:pPr>
            <w:r>
              <w:t xml:space="preserve">&gt;= 5,000</w:t>
            </w:r>
          </w:p>
        </w:tc>
        <w:tc>
          <w:tcPr/>
          <w:p>
            <w:pPr>
              <w:pStyle w:val="Compact"/>
            </w:pPr>
            <w:r>
              <w:t xml:space="preserve">2,000 to &lt; 5,000</w:t>
            </w:r>
          </w:p>
        </w:tc>
        <w:tc>
          <w:tcPr/>
          <w:p>
            <w:pPr>
              <w:pStyle w:val="Compact"/>
            </w:pPr>
            <w:r>
              <w:t xml:space="preserve">&lt; 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applicability violations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&gt; 0% to &lt;= 1%</w:t>
            </w:r>
          </w:p>
        </w:tc>
        <w:tc>
          <w:tcPr/>
          <w:p>
            <w:pPr>
              <w:pStyle w:val="Compact"/>
            </w:pPr>
            <w:r>
              <w:t xml:space="preserve">&gt; 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Model-version mismatch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one isolated run corrected same cycle</w:t>
            </w:r>
          </w:p>
        </w:tc>
        <w:tc>
          <w:tcPr/>
          <w:p>
            <w:pPr>
              <w:pStyle w:val="Compact"/>
            </w:pPr>
            <w:r>
              <w:t xml:space="preserve">persistent or unresolved 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expiry</w:t>
            </w:r>
          </w:p>
        </w:tc>
        <w:tc>
          <w:tcPr/>
          <w:p>
            <w:pPr>
              <w:pStyle w:val="Compact"/>
            </w:pPr>
            <w:r>
              <w:t xml:space="preserve">valid for &gt; 90 days</w:t>
            </w:r>
          </w:p>
        </w:tc>
        <w:tc>
          <w:tcPr/>
          <w:p>
            <w:pPr>
              <w:pStyle w:val="Compact"/>
            </w:pPr>
            <w:r>
              <w:t xml:space="preserve">&lt;= 90 days to expiry</w:t>
            </w:r>
          </w:p>
        </w:tc>
        <w:tc>
          <w:tcPr/>
          <w:p>
            <w:pPr>
              <w:pStyle w:val="Compact"/>
            </w:pPr>
            <w:r>
              <w:t xml:space="preserve">expired</w:t>
            </w:r>
          </w:p>
        </w:tc>
      </w:tr>
    </w:tbl>
    <w:bookmarkEnd w:id="13"/>
    <w:bookmarkStart w:id="14" w:name="conflicting-signal-handling"/>
    <w:p>
      <w:pPr>
        <w:pStyle w:val="Heading2"/>
      </w:pPr>
      <w:r>
        <w:t xml:space="preserve">Conflicting Signal Handling</w:t>
      </w:r>
    </w:p>
    <w:p>
      <w:pPr>
        <w:pStyle w:val="Compact"/>
        <w:numPr>
          <w:ilvl w:val="0"/>
          <w:numId w:val="1002"/>
        </w:numPr>
      </w:pPr>
      <w:r>
        <w:t xml:space="preserve">Red in any applicability or implementation control overrides metric Greens.</w:t>
      </w:r>
    </w:p>
    <w:p>
      <w:pPr>
        <w:pStyle w:val="Compact"/>
        <w:numPr>
          <w:ilvl w:val="0"/>
          <w:numId w:val="1002"/>
        </w:numPr>
      </w:pPr>
      <w:r>
        <w:t xml:space="preserve">Multiple Amber signals across independent dimensions should be treated as consolidated Red for escalation review.</w:t>
      </w:r>
    </w:p>
    <w:p>
      <w:pPr>
        <w:pStyle w:val="Compact"/>
        <w:numPr>
          <w:ilvl w:val="0"/>
          <w:numId w:val="1002"/>
        </w:numPr>
      </w:pPr>
      <w:r>
        <w:t xml:space="preserve">If stability is Red but discrimination is Green, require investigation before remediation decision.</w:t>
      </w:r>
    </w:p>
    <w:p>
      <w:pPr>
        <w:pStyle w:val="Compact"/>
        <w:numPr>
          <w:ilvl w:val="0"/>
          <w:numId w:val="1002"/>
        </w:numPr>
      </w:pPr>
      <w:r>
        <w:t xml:space="preserve">Missingness Red with metric instability should prioritize data remediation first.</w:t>
      </w:r>
    </w:p>
    <w:bookmarkEnd w:id="14"/>
    <w:bookmarkStart w:id="15" w:name="key-terms"/>
    <w:p>
      <w:pPr>
        <w:pStyle w:val="Heading2"/>
      </w:pPr>
      <w:r>
        <w:t xml:space="preserve">Key Terms</w:t>
      </w:r>
    </w:p>
    <w:p>
      <w:pPr>
        <w:pStyle w:val="Compact"/>
        <w:numPr>
          <w:ilvl w:val="0"/>
          <w:numId w:val="1003"/>
        </w:numPr>
      </w:pPr>
      <w:r>
        <w:t xml:space="preserve">Isolated run: single incident with immediate correction and traceable evidence.</w:t>
      </w:r>
    </w:p>
    <w:p>
      <w:pPr>
        <w:pStyle w:val="Compact"/>
        <w:numPr>
          <w:ilvl w:val="0"/>
          <w:numId w:val="1003"/>
        </w:numPr>
      </w:pPr>
      <w:r>
        <w:t xml:space="preserve">Persistent mismatch: repeated or unresolved implementation inconsistency.</w:t>
      </w:r>
    </w:p>
    <w:bookmarkEnd w:id="15"/>
    <w:bookmarkStart w:id="19" w:name="related-documents"/>
    <w:p>
      <w:pPr>
        <w:pStyle w:val="Heading2"/>
      </w:pPr>
      <w:r>
        <w:t xml:space="preserve">Related Documents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MODEL_MONITORING_POLICY.md</w:t>
        </w:r>
      </w:hyperlink>
    </w:p>
    <w:p>
      <w:pPr>
        <w:pStyle w:val="Compact"/>
        <w:numPr>
          <w:ilvl w:val="0"/>
          <w:numId w:val="1004"/>
        </w:numPr>
      </w:pPr>
      <w:hyperlink r:id="rId17">
        <w:r>
          <w:rPr>
            <w:rStyle w:val="Hyperlink"/>
          </w:rPr>
          <w:t xml:space="preserve">ESCALATION_MATRIX.md</w:t>
        </w:r>
      </w:hyperlink>
    </w:p>
    <w:p>
      <w:pPr>
        <w:pStyle w:val="Compact"/>
        <w:numPr>
          <w:ilvl w:val="0"/>
          <w:numId w:val="1004"/>
        </w:numPr>
      </w:pPr>
      <w:hyperlink r:id="rId18">
        <w:r>
          <w:rPr>
            <w:rStyle w:val="Hyperlink"/>
          </w:rPr>
          <w:t xml:space="preserve">../governance/EVIDENCE_GUIDELINES.md</w:t>
        </w:r>
      </w:hyperlink>
    </w:p>
    <w:bookmarkEnd w:id="19"/>
    <w:bookmarkStart w:id="20" w:name="copilot-usage"/>
    <w:p>
      <w:pPr>
        <w:pStyle w:val="Heading2"/>
      </w:pPr>
      <w:r>
        <w:t xml:space="preserve">Copilot Usage</w:t>
      </w:r>
    </w:p>
    <w:p>
      <w:pPr>
        <w:pStyle w:val="FirstParagraph"/>
      </w:pPr>
      <w:r>
        <w:t xml:space="preserve">Use this matrix for deterministic severity tagging and escalation recommendation framing, while explicitly labeling values as synthetic thresholds.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../governance/EVIDENCE_GUIDELINES.md" TargetMode="External" /><Relationship Type="http://schemas.openxmlformats.org/officeDocument/2006/relationships/hyperlink" Id="rId17" Target="ESCALATION_MATRIX.md" TargetMode="External" /><Relationship Type="http://schemas.openxmlformats.org/officeDocument/2006/relationships/hyperlink" Id="rId16" Target="MODEL_MONITORING_POLIC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./governance/EVIDENCE_GUIDELINES.md" TargetMode="External" /><Relationship Type="http://schemas.openxmlformats.org/officeDocument/2006/relationships/hyperlink" Id="rId17" Target="ESCALATION_MATRIX.md" TargetMode="External" /><Relationship Type="http://schemas.openxmlformats.org/officeDocument/2006/relationships/hyperlink" Id="rId16" Target="MODEL_MONITORING_POLIC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2026-07-14T00:59:50Z</dcterms:created>
  <dcterms:modified xsi:type="dcterms:W3CDTF">2026-07-14T00:59:50Z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