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ba-ml-irb-summary"/>
    <w:p>
      <w:pPr>
        <w:pStyle w:val="Heading1"/>
      </w:pPr>
      <w:r>
        <w:t xml:space="preserve">EBA ML IRB Summary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Annual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Summarize practical themes relevant to machine learning governance in credit risk settings.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Contextual reference for internal model governance practices.</w:t>
      </w:r>
    </w:p>
    <w:bookmarkEnd w:id="11"/>
    <w:bookmarkStart w:id="12" w:name="important-caveat"/>
    <w:p>
      <w:pPr>
        <w:pStyle w:val="Heading2"/>
      </w:pPr>
      <w:r>
        <w:t xml:space="preserve">Important Caveat</w:t>
      </w:r>
    </w:p>
    <w:p>
      <w:pPr>
        <w:pStyle w:val="FirstParagraph"/>
      </w:pPr>
      <w:r>
        <w:t xml:space="preserve">This is a practical summary for training demonstration and is not legal or regulatory advice.</w:t>
      </w:r>
    </w:p>
    <w:bookmarkEnd w:id="12"/>
    <w:bookmarkStart w:id="13" w:name="practical-themes"/>
    <w:p>
      <w:pPr>
        <w:pStyle w:val="Heading2"/>
      </w:pPr>
      <w:r>
        <w:t xml:space="preserve">Practical Themes</w:t>
      </w:r>
    </w:p>
    <w:p>
      <w:pPr>
        <w:pStyle w:val="Compact"/>
        <w:numPr>
          <w:ilvl w:val="0"/>
          <w:numId w:val="1002"/>
        </w:numPr>
      </w:pPr>
      <w:r>
        <w:t xml:space="preserve">Explainability: provide understandable rationale for model behavior and decisions.</w:t>
      </w:r>
    </w:p>
    <w:p>
      <w:pPr>
        <w:pStyle w:val="Compact"/>
        <w:numPr>
          <w:ilvl w:val="0"/>
          <w:numId w:val="1002"/>
        </w:numPr>
      </w:pPr>
      <w:r>
        <w:t xml:space="preserve">Validation: perform robust independent validation and ongoing challenge.</w:t>
      </w:r>
    </w:p>
    <w:p>
      <w:pPr>
        <w:pStyle w:val="Compact"/>
        <w:numPr>
          <w:ilvl w:val="0"/>
          <w:numId w:val="1002"/>
        </w:numPr>
      </w:pPr>
      <w:r>
        <w:t xml:space="preserve">Performance: monitor discrimination, calibration, and population stability.</w:t>
      </w:r>
    </w:p>
    <w:p>
      <w:pPr>
        <w:pStyle w:val="Compact"/>
        <w:numPr>
          <w:ilvl w:val="0"/>
          <w:numId w:val="1002"/>
        </w:numPr>
      </w:pPr>
      <w:r>
        <w:t xml:space="preserve">Data governance: control data quality, lineage, and representativeness.</w:t>
      </w:r>
    </w:p>
    <w:p>
      <w:pPr>
        <w:pStyle w:val="Compact"/>
        <w:numPr>
          <w:ilvl w:val="0"/>
          <w:numId w:val="1002"/>
        </w:numPr>
      </w:pPr>
      <w:r>
        <w:t xml:space="preserve">Scope control: ensure model is used only within validated scope and assumptions.</w:t>
      </w:r>
    </w:p>
    <w:bookmarkEnd w:id="13"/>
    <w:bookmarkStart w:id="17" w:name="ai-assurance-relevance"/>
    <w:p>
      <w:pPr>
        <w:pStyle w:val="Heading2"/>
      </w:pPr>
      <w:r>
        <w:t xml:space="preserve">AI Assurance Relevance</w:t>
      </w:r>
    </w:p>
    <w:p>
      <w:pPr>
        <w:pStyle w:val="Compact"/>
        <w:numPr>
          <w:ilvl w:val="0"/>
          <w:numId w:val="1003"/>
        </w:numPr>
      </w:pPr>
      <w:r>
        <w:t xml:space="preserve">Scope and applicability checks:</w:t>
      </w:r>
      <w:r>
        <w:t xml:space="preserve"> </w:t>
      </w:r>
      <w:hyperlink r:id="rId14">
        <w:r>
          <w:rPr>
            <w:rStyle w:val="Hyperlink"/>
          </w:rPr>
          <w:t xml:space="preserve">../policies/MODEL_MONITORING_POLICY.md</w:t>
        </w:r>
      </w:hyperlink>
    </w:p>
    <w:p>
      <w:pPr>
        <w:pStyle w:val="Compact"/>
        <w:numPr>
          <w:ilvl w:val="0"/>
          <w:numId w:val="1003"/>
        </w:numPr>
      </w:pPr>
      <w:r>
        <w:t xml:space="preserve">Validation and expiry controls:</w:t>
      </w:r>
      <w:r>
        <w:t xml:space="preserve"> </w:t>
      </w:r>
      <w:hyperlink r:id="rId15">
        <w:r>
          <w:rPr>
            <w:rStyle w:val="Hyperlink"/>
          </w:rPr>
          <w:t xml:space="preserve">../policies/THRESHOLD_MATRIX.md</w:t>
        </w:r>
      </w:hyperlink>
    </w:p>
    <w:p>
      <w:pPr>
        <w:pStyle w:val="Compact"/>
        <w:numPr>
          <w:ilvl w:val="0"/>
          <w:numId w:val="1003"/>
        </w:numPr>
      </w:pPr>
      <w:r>
        <w:t xml:space="preserve">Lifecycle governance:</w:t>
      </w:r>
      <w:r>
        <w:t xml:space="preserve"> </w:t>
      </w:r>
      <w:hyperlink r:id="rId16">
        <w:r>
          <w:rPr>
            <w:rStyle w:val="Hyperlink"/>
          </w:rPr>
          <w:t xml:space="preserve">../governance/MODEL_RISK_STANDARD.md</w:t>
        </w:r>
      </w:hyperlink>
    </w:p>
    <w:bookmarkEnd w:id="17"/>
    <w:bookmarkStart w:id="18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as contextual language support for explainability, validation, and scope-control discussions in governance outputs.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governance/MODEL_RISK_STANDARD.md" TargetMode="External" /><Relationship Type="http://schemas.openxmlformats.org/officeDocument/2006/relationships/hyperlink" Id="rId14" Target="../policies/MODEL_MONITORING_POLICY.md" TargetMode="External" /><Relationship Type="http://schemas.openxmlformats.org/officeDocument/2006/relationships/hyperlink" Id="rId15" Target="../policies/THRESHOLD_MATRI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governance/MODEL_RISK_STANDARD.md" TargetMode="External" /><Relationship Type="http://schemas.openxmlformats.org/officeDocument/2006/relationships/hyperlink" Id="rId14" Target="../policies/MODEL_MONITORING_POLICY.md" TargetMode="External" /><Relationship Type="http://schemas.openxmlformats.org/officeDocument/2006/relationships/hyperlink" Id="rId15" Target="../policies/THRESHOLD_MATRI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