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s-feat-summary"/>
    <w:p>
      <w:pPr>
        <w:pStyle w:val="Heading1"/>
      </w:pPr>
      <w:r>
        <w:t xml:space="preserve">MAS FEAT Summary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Annual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Summarize Fairness, Ethics, Accountability, and Transparency themes relevant to financial AI governance.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Contextual reference for AI Assurance policy and governance design.</w:t>
      </w:r>
    </w:p>
    <w:bookmarkEnd w:id="11"/>
    <w:bookmarkStart w:id="12" w:name="important-caveat"/>
    <w:p>
      <w:pPr>
        <w:pStyle w:val="Heading2"/>
      </w:pPr>
      <w:r>
        <w:t xml:space="preserve">Important Caveat</w:t>
      </w:r>
    </w:p>
    <w:p>
      <w:pPr>
        <w:pStyle w:val="FirstParagraph"/>
      </w:pPr>
      <w:r>
        <w:t xml:space="preserve">This is a practical summary for training demonstration and is not legal or regulatory advice.</w:t>
      </w:r>
    </w:p>
    <w:bookmarkEnd w:id="12"/>
    <w:bookmarkStart w:id="17" w:name="feat-themes"/>
    <w:p>
      <w:pPr>
        <w:pStyle w:val="Heading2"/>
      </w:pPr>
      <w:r>
        <w:t xml:space="preserve">FEAT Themes</w:t>
      </w:r>
    </w:p>
    <w:bookmarkStart w:id="13" w:name="fairness"/>
    <w:p>
      <w:pPr>
        <w:pStyle w:val="Heading3"/>
      </w:pPr>
      <w:r>
        <w:t xml:space="preserve">Fairness</w:t>
      </w:r>
    </w:p>
    <w:p>
      <w:pPr>
        <w:pStyle w:val="Compact"/>
        <w:numPr>
          <w:ilvl w:val="0"/>
          <w:numId w:val="1002"/>
        </w:numPr>
      </w:pPr>
      <w:r>
        <w:t xml:space="preserve">Monitor outcomes across relevant segments.</w:t>
      </w:r>
    </w:p>
    <w:p>
      <w:pPr>
        <w:pStyle w:val="Compact"/>
        <w:numPr>
          <w:ilvl w:val="0"/>
          <w:numId w:val="1002"/>
        </w:numPr>
      </w:pPr>
      <w:r>
        <w:t xml:space="preserve">Investigate and explain material disparities.</w:t>
      </w:r>
    </w:p>
    <w:bookmarkEnd w:id="13"/>
    <w:bookmarkStart w:id="14" w:name="ethics"/>
    <w:p>
      <w:pPr>
        <w:pStyle w:val="Heading3"/>
      </w:pPr>
      <w:r>
        <w:t xml:space="preserve">Ethics</w:t>
      </w:r>
    </w:p>
    <w:p>
      <w:pPr>
        <w:pStyle w:val="Compact"/>
        <w:numPr>
          <w:ilvl w:val="0"/>
          <w:numId w:val="1003"/>
        </w:numPr>
      </w:pPr>
      <w:r>
        <w:t xml:space="preserve">Ensure model use aligns with intended business purpose and customer treatment principles.</w:t>
      </w:r>
    </w:p>
    <w:bookmarkEnd w:id="14"/>
    <w:bookmarkStart w:id="15" w:name="accountability"/>
    <w:p>
      <w:pPr>
        <w:pStyle w:val="Heading3"/>
      </w:pPr>
      <w:r>
        <w:t xml:space="preserve">Accountability</w:t>
      </w:r>
    </w:p>
    <w:p>
      <w:pPr>
        <w:pStyle w:val="Compact"/>
        <w:numPr>
          <w:ilvl w:val="0"/>
          <w:numId w:val="1004"/>
        </w:numPr>
      </w:pPr>
      <w:r>
        <w:t xml:space="preserve">Assign named owners and clear decision authority.</w:t>
      </w:r>
    </w:p>
    <w:p>
      <w:pPr>
        <w:pStyle w:val="Compact"/>
        <w:numPr>
          <w:ilvl w:val="0"/>
          <w:numId w:val="1004"/>
        </w:numPr>
      </w:pPr>
      <w:r>
        <w:t xml:space="preserve">Require human approval for material actions.</w:t>
      </w:r>
    </w:p>
    <w:bookmarkEnd w:id="15"/>
    <w:bookmarkStart w:id="16" w:name="transparency"/>
    <w:p>
      <w:pPr>
        <w:pStyle w:val="Heading3"/>
      </w:pPr>
      <w:r>
        <w:t xml:space="preserve">Transparency</w:t>
      </w:r>
    </w:p>
    <w:p>
      <w:pPr>
        <w:pStyle w:val="Compact"/>
        <w:numPr>
          <w:ilvl w:val="0"/>
          <w:numId w:val="1005"/>
        </w:numPr>
      </w:pPr>
      <w:r>
        <w:t xml:space="preserve">Keep understandable documentation of model purpose, limits, and governance decisions.</w:t>
      </w:r>
    </w:p>
    <w:bookmarkEnd w:id="16"/>
    <w:bookmarkEnd w:id="17"/>
    <w:bookmarkStart w:id="18" w:name="practical-relevance-to-financial-ai"/>
    <w:p>
      <w:pPr>
        <w:pStyle w:val="Heading2"/>
      </w:pPr>
      <w:r>
        <w:t xml:space="preserve">Practical Relevance to Financial AI</w:t>
      </w:r>
    </w:p>
    <w:p>
      <w:pPr>
        <w:pStyle w:val="Compact"/>
        <w:numPr>
          <w:ilvl w:val="0"/>
          <w:numId w:val="1006"/>
        </w:numPr>
      </w:pPr>
      <w:r>
        <w:t xml:space="preserve">Supports evidence-backed investigation discipline.</w:t>
      </w:r>
    </w:p>
    <w:p>
      <w:pPr>
        <w:pStyle w:val="Compact"/>
        <w:numPr>
          <w:ilvl w:val="0"/>
          <w:numId w:val="1006"/>
        </w:numPr>
      </w:pPr>
      <w:r>
        <w:t xml:space="preserve">Supports explainable committee decisions.</w:t>
      </w:r>
    </w:p>
    <w:p>
      <w:pPr>
        <w:pStyle w:val="Compact"/>
        <w:numPr>
          <w:ilvl w:val="0"/>
          <w:numId w:val="1006"/>
        </w:numPr>
      </w:pPr>
      <w:r>
        <w:t xml:space="preserve">Supports controlled remediation and accountability traceability.</w:t>
      </w:r>
    </w:p>
    <w:bookmarkEnd w:id="18"/>
    <w:bookmarkStart w:id="22" w:name="ai-assurance-relevance"/>
    <w:p>
      <w:pPr>
        <w:pStyle w:val="Heading2"/>
      </w:pPr>
      <w:r>
        <w:t xml:space="preserve">AI Assurance Relevance</w:t>
      </w:r>
    </w:p>
    <w:p>
      <w:pPr>
        <w:pStyle w:val="Compact"/>
        <w:numPr>
          <w:ilvl w:val="0"/>
          <w:numId w:val="1007"/>
        </w:numPr>
      </w:pPr>
      <w:r>
        <w:t xml:space="preserve">Investigation workflow:</w:t>
      </w:r>
      <w:r>
        <w:t xml:space="preserve"> </w:t>
      </w:r>
      <w:hyperlink r:id="rId19">
        <w:r>
          <w:rPr>
            <w:rStyle w:val="Hyperlink"/>
          </w:rPr>
          <w:t xml:space="preserve">../governance/INVESTIGATION_GUIDELINES.md</w:t>
        </w:r>
      </w:hyperlink>
    </w:p>
    <w:p>
      <w:pPr>
        <w:pStyle w:val="Compact"/>
        <w:numPr>
          <w:ilvl w:val="0"/>
          <w:numId w:val="1007"/>
        </w:numPr>
      </w:pPr>
      <w:r>
        <w:t xml:space="preserve">Evidence quality:</w:t>
      </w:r>
      <w:r>
        <w:t xml:space="preserve"> </w:t>
      </w:r>
      <w:hyperlink r:id="rId20">
        <w:r>
          <w:rPr>
            <w:rStyle w:val="Hyperlink"/>
          </w:rPr>
          <w:t xml:space="preserve">../governance/EVIDENCE_GUIDELINES.md</w:t>
        </w:r>
      </w:hyperlink>
    </w:p>
    <w:p>
      <w:pPr>
        <w:pStyle w:val="Compact"/>
        <w:numPr>
          <w:ilvl w:val="0"/>
          <w:numId w:val="1007"/>
        </w:numPr>
      </w:pPr>
      <w:r>
        <w:t xml:space="preserve">Human decision control:</w:t>
      </w:r>
      <w:r>
        <w:t xml:space="preserve"> </w:t>
      </w:r>
      <w:hyperlink r:id="rId21">
        <w:r>
          <w:rPr>
            <w:rStyle w:val="Hyperlink"/>
          </w:rPr>
          <w:t xml:space="preserve">../policies/HUMAN_APPROVAL_POLICY.md</w:t>
        </w:r>
      </w:hyperlink>
    </w:p>
    <w:bookmarkEnd w:id="22"/>
    <w:bookmarkStart w:id="23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summary to frame fairness and accountability language in recommendations while keeping statements evidence-based and bounded.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governance/EVIDENCE_GUIDELINES.md" TargetMode="External" /><Relationship Type="http://schemas.openxmlformats.org/officeDocument/2006/relationships/hyperlink" Id="rId19" Target="../governance/INVESTIGATION_GUIDELINES.md" TargetMode="External" /><Relationship Type="http://schemas.openxmlformats.org/officeDocument/2006/relationships/hyperlink" Id="rId21" Target="../policies/HUMAN_APPROVAL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governance/EVIDENCE_GUIDELINES.md" TargetMode="External" /><Relationship Type="http://schemas.openxmlformats.org/officeDocument/2006/relationships/hyperlink" Id="rId19" Target="../governance/INVESTIGATION_GUIDELINES.md" TargetMode="External" /><Relationship Type="http://schemas.openxmlformats.org/officeDocument/2006/relationships/hyperlink" Id="rId21" Target="../policies/HUMAN_APPROVAL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