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nist-ai-rmf-summary"/>
    <w:p>
      <w:pPr>
        <w:pStyle w:val="Heading1"/>
      </w:pPr>
      <w:r>
        <w:t xml:space="preserve">NIST AI RMF Summary</w:t>
      </w:r>
    </w:p>
    <w:bookmarkStart w:id="9" w:name="metadata"/>
    <w:p>
      <w:pPr>
        <w:pStyle w:val="Heading2"/>
      </w:pPr>
      <w:r>
        <w:t xml:space="preserve">Metadata</w:t>
      </w:r>
    </w:p>
    <w:p>
      <w:pPr>
        <w:pStyle w:val="Compact"/>
        <w:numPr>
          <w:ilvl w:val="0"/>
          <w:numId w:val="1001"/>
        </w:numPr>
      </w:pPr>
      <w:r>
        <w:t xml:space="preserve">Document Owner: AI Assurance Product and Governance Team</w:t>
      </w:r>
    </w:p>
    <w:p>
      <w:pPr>
        <w:pStyle w:val="Compact"/>
        <w:numPr>
          <w:ilvl w:val="0"/>
          <w:numId w:val="1001"/>
        </w:numPr>
      </w:pPr>
      <w:r>
        <w:t xml:space="preserve">Version: 1.0</w:t>
      </w:r>
    </w:p>
    <w:p>
      <w:pPr>
        <w:pStyle w:val="Compact"/>
        <w:numPr>
          <w:ilvl w:val="0"/>
          <w:numId w:val="1001"/>
        </w:numPr>
      </w:pPr>
      <w:r>
        <w:t xml:space="preserve">Effective Date: July 2026</w:t>
      </w:r>
    </w:p>
    <w:p>
      <w:pPr>
        <w:pStyle w:val="Compact"/>
        <w:numPr>
          <w:ilvl w:val="0"/>
          <w:numId w:val="1001"/>
        </w:numPr>
      </w:pPr>
      <w:r>
        <w:t xml:space="preserve">Review Frequency: Annual</w:t>
      </w:r>
    </w:p>
    <w:p>
      <w:pPr>
        <w:pStyle w:val="Compact"/>
        <w:numPr>
          <w:ilvl w:val="0"/>
          <w:numId w:val="1001"/>
        </w:numPr>
      </w:pPr>
      <w:r>
        <w:t xml:space="preserve">Status: Draft for Training Demonstration</w:t>
      </w:r>
    </w:p>
    <w:bookmarkEnd w:id="9"/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Provide a practical summary of NIST AI RMF functions and their mapping to AI Assurance.</w:t>
      </w:r>
    </w:p>
    <w:bookmarkEnd w:id="10"/>
    <w:bookmarkStart w:id="11" w:name="scope"/>
    <w:p>
      <w:pPr>
        <w:pStyle w:val="Heading2"/>
      </w:pPr>
      <w:r>
        <w:t xml:space="preserve">Scope</w:t>
      </w:r>
    </w:p>
    <w:p>
      <w:pPr>
        <w:pStyle w:val="FirstParagraph"/>
      </w:pPr>
      <w:r>
        <w:t xml:space="preserve">Contextual governance reference for runtime monitoring and assurance workflows.</w:t>
      </w:r>
    </w:p>
    <w:bookmarkEnd w:id="11"/>
    <w:bookmarkStart w:id="12" w:name="important-caveat"/>
    <w:p>
      <w:pPr>
        <w:pStyle w:val="Heading2"/>
      </w:pPr>
      <w:r>
        <w:t xml:space="preserve">Important Caveat</w:t>
      </w:r>
    </w:p>
    <w:p>
      <w:pPr>
        <w:pStyle w:val="FirstParagraph"/>
      </w:pPr>
      <w:r>
        <w:t xml:space="preserve">This is a practical summary for training demonstration and is not legal or regulatory advice.</w:t>
      </w:r>
    </w:p>
    <w:bookmarkEnd w:id="12"/>
    <w:bookmarkStart w:id="15" w:name="govern"/>
    <w:p>
      <w:pPr>
        <w:pStyle w:val="Heading2"/>
      </w:pPr>
      <w:r>
        <w:t xml:space="preserve">Govern</w:t>
      </w:r>
    </w:p>
    <w:p>
      <w:pPr>
        <w:pStyle w:val="Compact"/>
        <w:numPr>
          <w:ilvl w:val="0"/>
          <w:numId w:val="1002"/>
        </w:numPr>
      </w:pPr>
      <w:r>
        <w:t xml:space="preserve">Define roles, accountability, policies, and oversight routines.</w:t>
      </w:r>
    </w:p>
    <w:p>
      <w:pPr>
        <w:pStyle w:val="Compact"/>
        <w:numPr>
          <w:ilvl w:val="0"/>
          <w:numId w:val="1002"/>
        </w:numPr>
      </w:pPr>
      <w:r>
        <w:t xml:space="preserve">AI Assurance mapping:</w:t>
      </w:r>
      <w:r>
        <w:t xml:space="preserve"> </w:t>
      </w:r>
      <w:hyperlink r:id="rId13">
        <w:r>
          <w:rPr>
            <w:rStyle w:val="Hyperlink"/>
          </w:rPr>
          <w:t xml:space="preserve">../policies/HUMAN_APPROVAL_POLICY.md</w:t>
        </w:r>
      </w:hyperlink>
      <w:r>
        <w:t xml:space="preserve">,</w:t>
      </w:r>
      <w:r>
        <w:t xml:space="preserve"> </w:t>
      </w:r>
      <w:hyperlink r:id="rId14">
        <w:r>
          <w:rPr>
            <w:rStyle w:val="Hyperlink"/>
          </w:rPr>
          <w:t xml:space="preserve">../governance/MODEL_RISK_STANDARD.md</w:t>
        </w:r>
      </w:hyperlink>
    </w:p>
    <w:bookmarkEnd w:id="15"/>
    <w:bookmarkStart w:id="18" w:name="map"/>
    <w:p>
      <w:pPr>
        <w:pStyle w:val="Heading2"/>
      </w:pPr>
      <w:r>
        <w:t xml:space="preserve">Map</w:t>
      </w:r>
    </w:p>
    <w:p>
      <w:pPr>
        <w:pStyle w:val="Compact"/>
        <w:numPr>
          <w:ilvl w:val="0"/>
          <w:numId w:val="1003"/>
        </w:numPr>
      </w:pPr>
      <w:r>
        <w:t xml:space="preserve">Understand context, intended use, assumptions, and affected populations.</w:t>
      </w:r>
    </w:p>
    <w:p>
      <w:pPr>
        <w:pStyle w:val="Compact"/>
        <w:numPr>
          <w:ilvl w:val="0"/>
          <w:numId w:val="1003"/>
        </w:numPr>
      </w:pPr>
      <w:r>
        <w:t xml:space="preserve">AI Assurance mapping:</w:t>
      </w:r>
      <w:r>
        <w:t xml:space="preserve"> </w:t>
      </w:r>
      <w:hyperlink r:id="rId16">
        <w:r>
          <w:rPr>
            <w:rStyle w:val="Hyperlink"/>
          </w:rPr>
          <w:t xml:space="preserve">../business/PRODUCTS.md</w:t>
        </w:r>
      </w:hyperlink>
      <w:r>
        <w:t xml:space="preserve">,</w:t>
      </w:r>
      <w:r>
        <w:t xml:space="preserve"> </w:t>
      </w:r>
      <w:hyperlink r:id="rId17">
        <w:r>
          <w:rPr>
            <w:rStyle w:val="Hyperlink"/>
          </w:rPr>
          <w:t xml:space="preserve">../models/MODEL_INVENTORY.md</w:t>
        </w:r>
      </w:hyperlink>
    </w:p>
    <w:bookmarkEnd w:id="18"/>
    <w:bookmarkStart w:id="21" w:name="measure"/>
    <w:p>
      <w:pPr>
        <w:pStyle w:val="Heading2"/>
      </w:pPr>
      <w:r>
        <w:t xml:space="preserve">Measure</w:t>
      </w:r>
    </w:p>
    <w:p>
      <w:pPr>
        <w:pStyle w:val="Compact"/>
        <w:numPr>
          <w:ilvl w:val="0"/>
          <w:numId w:val="1004"/>
        </w:numPr>
      </w:pPr>
      <w:r>
        <w:t xml:space="preserve">Assess risk using deterministic metrics, evidence quality, and validation status.</w:t>
      </w:r>
    </w:p>
    <w:p>
      <w:pPr>
        <w:pStyle w:val="Compact"/>
        <w:numPr>
          <w:ilvl w:val="0"/>
          <w:numId w:val="1004"/>
        </w:numPr>
      </w:pPr>
      <w:r>
        <w:t xml:space="preserve">AI Assurance mapping:</w:t>
      </w:r>
      <w:r>
        <w:t xml:space="preserve"> </w:t>
      </w:r>
      <w:hyperlink r:id="rId19">
        <w:r>
          <w:rPr>
            <w:rStyle w:val="Hyperlink"/>
          </w:rPr>
          <w:t xml:space="preserve">../policies/MODEL_MONITORING_POLICY.md</w:t>
        </w:r>
      </w:hyperlink>
      <w:r>
        <w:t xml:space="preserve">,</w:t>
      </w:r>
      <w:r>
        <w:t xml:space="preserve"> </w:t>
      </w:r>
      <w:hyperlink r:id="rId20">
        <w:r>
          <w:rPr>
            <w:rStyle w:val="Hyperlink"/>
          </w:rPr>
          <w:t xml:space="preserve">../governance/EVIDENCE_GUIDELINES.md</w:t>
        </w:r>
      </w:hyperlink>
    </w:p>
    <w:bookmarkEnd w:id="21"/>
    <w:bookmarkStart w:id="24" w:name="manage"/>
    <w:p>
      <w:pPr>
        <w:pStyle w:val="Heading2"/>
      </w:pPr>
      <w:r>
        <w:t xml:space="preserve">Manage</w:t>
      </w:r>
    </w:p>
    <w:p>
      <w:pPr>
        <w:pStyle w:val="Compact"/>
        <w:numPr>
          <w:ilvl w:val="0"/>
          <w:numId w:val="1005"/>
        </w:numPr>
      </w:pPr>
      <w:r>
        <w:t xml:space="preserve">Prioritize remediation, escalation, and monitored follow-through.</w:t>
      </w:r>
    </w:p>
    <w:p>
      <w:pPr>
        <w:pStyle w:val="Compact"/>
        <w:numPr>
          <w:ilvl w:val="0"/>
          <w:numId w:val="1005"/>
        </w:numPr>
      </w:pPr>
      <w:r>
        <w:t xml:space="preserve">AI Assurance mapping:</w:t>
      </w:r>
      <w:r>
        <w:t xml:space="preserve"> </w:t>
      </w:r>
      <w:hyperlink r:id="rId22">
        <w:r>
          <w:rPr>
            <w:rStyle w:val="Hyperlink"/>
          </w:rPr>
          <w:t xml:space="preserve">../policies/ESCALATION_MATRIX.md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../policies/REMEDIATION_PLAYBOOK.md</w:t>
        </w:r>
      </w:hyperlink>
    </w:p>
    <w:bookmarkEnd w:id="24"/>
    <w:bookmarkStart w:id="25" w:name="copilot-usage"/>
    <w:p>
      <w:pPr>
        <w:pStyle w:val="Heading2"/>
      </w:pPr>
      <w:r>
        <w:t xml:space="preserve">Copilot Usage</w:t>
      </w:r>
    </w:p>
    <w:p>
      <w:pPr>
        <w:pStyle w:val="FirstParagraph"/>
      </w:pPr>
      <w:r>
        <w:t xml:space="preserve">Use this summary to structure risk-management narratives around Govern, Map, Measure, and Manage when preparing assurance outputs.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../business/PRODUCTS.md" TargetMode="External" /><Relationship Type="http://schemas.openxmlformats.org/officeDocument/2006/relationships/hyperlink" Id="rId20" Target="../governance/EVIDENCE_GUIDELINES.md" TargetMode="External" /><Relationship Type="http://schemas.openxmlformats.org/officeDocument/2006/relationships/hyperlink" Id="rId14" Target="../governance/MODEL_RISK_STANDARD.md" TargetMode="External" /><Relationship Type="http://schemas.openxmlformats.org/officeDocument/2006/relationships/hyperlink" Id="rId17" Target="../models/MODEL_INVENTORY.md" TargetMode="External" /><Relationship Type="http://schemas.openxmlformats.org/officeDocument/2006/relationships/hyperlink" Id="rId22" Target="../policies/ESCALATION_MATRIX.md" TargetMode="External" /><Relationship Type="http://schemas.openxmlformats.org/officeDocument/2006/relationships/hyperlink" Id="rId13" Target="../policies/HUMAN_APPROVAL_POLICY.md" TargetMode="External" /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23" Target="../policies/REMEDIATION_PLAYBOOK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../business/PRODUCTS.md" TargetMode="External" /><Relationship Type="http://schemas.openxmlformats.org/officeDocument/2006/relationships/hyperlink" Id="rId20" Target="../governance/EVIDENCE_GUIDELINES.md" TargetMode="External" /><Relationship Type="http://schemas.openxmlformats.org/officeDocument/2006/relationships/hyperlink" Id="rId14" Target="../governance/MODEL_RISK_STANDARD.md" TargetMode="External" /><Relationship Type="http://schemas.openxmlformats.org/officeDocument/2006/relationships/hyperlink" Id="rId17" Target="../models/MODEL_INVENTORY.md" TargetMode="External" /><Relationship Type="http://schemas.openxmlformats.org/officeDocument/2006/relationships/hyperlink" Id="rId22" Target="../policies/ESCALATION_MATRIX.md" TargetMode="External" /><Relationship Type="http://schemas.openxmlformats.org/officeDocument/2006/relationships/hyperlink" Id="rId13" Target="../policies/HUMAN_APPROVAL_POLICY.md" TargetMode="External" /><Relationship Type="http://schemas.openxmlformats.org/officeDocument/2006/relationships/hyperlink" Id="rId19" Target="../policies/MODEL_MONITORING_POLICY.md" TargetMode="External" /><Relationship Type="http://schemas.openxmlformats.org/officeDocument/2006/relationships/hyperlink" Id="rId23" Target="../policies/REMEDIATION_PLAYBOOK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2026-07-14T00:59:50Z</dcterms:created>
  <dcterms:modified xsi:type="dcterms:W3CDTF">2026-07-14T00:59:50Z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