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bi-mrm-summary"/>
    <w:p>
      <w:pPr>
        <w:pStyle w:val="Heading1"/>
      </w:pPr>
      <w:r>
        <w:t xml:space="preserve">RBI MRM Summary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Annual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practical internal summary of broadly applicable model risk management themes often associated with central-bank style supervisory expectations.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Used as contextual guidance for governance design in AI Assurance.</w:t>
      </w:r>
    </w:p>
    <w:bookmarkEnd w:id="11"/>
    <w:bookmarkStart w:id="12" w:name="important-caveat"/>
    <w:p>
      <w:pPr>
        <w:pStyle w:val="Heading2"/>
      </w:pPr>
      <w:r>
        <w:t xml:space="preserve">Important Caveat</w:t>
      </w:r>
    </w:p>
    <w:p>
      <w:pPr>
        <w:pStyle w:val="FirstParagraph"/>
      </w:pPr>
      <w:r>
        <w:t xml:space="preserve">This is a practical summary for training demonstration and is not legal or regulatory advice.</w:t>
      </w:r>
    </w:p>
    <w:bookmarkEnd w:id="12"/>
    <w:bookmarkStart w:id="13" w:name="practical-themes"/>
    <w:p>
      <w:pPr>
        <w:pStyle w:val="Heading2"/>
      </w:pPr>
      <w:r>
        <w:t xml:space="preserve">Practical Themes</w:t>
      </w:r>
    </w:p>
    <w:p>
      <w:pPr>
        <w:pStyle w:val="Compact"/>
        <w:numPr>
          <w:ilvl w:val="0"/>
          <w:numId w:val="1002"/>
        </w:numPr>
      </w:pPr>
      <w:r>
        <w:t xml:space="preserve">Maintain a complete model inventory with ownership and status.</w:t>
      </w:r>
    </w:p>
    <w:p>
      <w:pPr>
        <w:pStyle w:val="Compact"/>
        <w:numPr>
          <w:ilvl w:val="0"/>
          <w:numId w:val="1002"/>
        </w:numPr>
      </w:pPr>
      <w:r>
        <w:t xml:space="preserve">Define governance roles and clear accountability.</w:t>
      </w:r>
    </w:p>
    <w:p>
      <w:pPr>
        <w:pStyle w:val="Compact"/>
        <w:numPr>
          <w:ilvl w:val="0"/>
          <w:numId w:val="1002"/>
        </w:numPr>
      </w:pPr>
      <w:r>
        <w:t xml:space="preserve">Require independent validation and periodic re-validation.</w:t>
      </w:r>
    </w:p>
    <w:p>
      <w:pPr>
        <w:pStyle w:val="Compact"/>
        <w:numPr>
          <w:ilvl w:val="0"/>
          <w:numId w:val="1002"/>
        </w:numPr>
      </w:pPr>
      <w:r>
        <w:t xml:space="preserve">Run ongoing monitoring for stability, discrimination, calibration, and applicability.</w:t>
      </w:r>
    </w:p>
    <w:p>
      <w:pPr>
        <w:pStyle w:val="Compact"/>
        <w:numPr>
          <w:ilvl w:val="0"/>
          <w:numId w:val="1002"/>
        </w:numPr>
      </w:pPr>
      <w:r>
        <w:t xml:space="preserve">Enforce human oversight for material model decisions.</w:t>
      </w:r>
    </w:p>
    <w:p>
      <w:pPr>
        <w:pStyle w:val="Compact"/>
        <w:numPr>
          <w:ilvl w:val="0"/>
          <w:numId w:val="1002"/>
        </w:numPr>
      </w:pPr>
      <w:r>
        <w:t xml:space="preserve">Maintain strong data quality controls and lineage.</w:t>
      </w:r>
    </w:p>
    <w:p>
      <w:pPr>
        <w:pStyle w:val="Compact"/>
        <w:numPr>
          <w:ilvl w:val="0"/>
          <w:numId w:val="1002"/>
        </w:numPr>
      </w:pPr>
      <w:r>
        <w:t xml:space="preserve">Support explainability appropriate to use case and risk.</w:t>
      </w:r>
    </w:p>
    <w:p>
      <w:pPr>
        <w:pStyle w:val="Compact"/>
        <w:numPr>
          <w:ilvl w:val="0"/>
          <w:numId w:val="1002"/>
        </w:numPr>
      </w:pPr>
      <w:r>
        <w:t xml:space="preserve">Manage lifecycle controls for change, recalibration, redevelopment, and retirement.</w:t>
      </w:r>
    </w:p>
    <w:bookmarkEnd w:id="13"/>
    <w:bookmarkStart w:id="17" w:name="ai-assurance-relevance"/>
    <w:p>
      <w:pPr>
        <w:pStyle w:val="Heading2"/>
      </w:pPr>
      <w:r>
        <w:t xml:space="preserve">AI Assurance Relevance</w:t>
      </w:r>
    </w:p>
    <w:p>
      <w:pPr>
        <w:pStyle w:val="Compact"/>
        <w:numPr>
          <w:ilvl w:val="0"/>
          <w:numId w:val="1003"/>
        </w:numPr>
      </w:pPr>
      <w:r>
        <w:t xml:space="preserve">Inventory:</w:t>
      </w:r>
      <w:r>
        <w:t xml:space="preserve"> </w:t>
      </w:r>
      <w:hyperlink r:id="rId14">
        <w:r>
          <w:rPr>
            <w:rStyle w:val="Hyperlink"/>
          </w:rPr>
          <w:t xml:space="preserve">../models/MODEL_INVENTORY.md</w:t>
        </w:r>
      </w:hyperlink>
    </w:p>
    <w:p>
      <w:pPr>
        <w:pStyle w:val="Compact"/>
        <w:numPr>
          <w:ilvl w:val="0"/>
          <w:numId w:val="1003"/>
        </w:numPr>
      </w:pPr>
      <w:r>
        <w:t xml:space="preserve">Monitoring policy:</w:t>
      </w:r>
      <w:r>
        <w:t xml:space="preserve"> </w:t>
      </w:r>
      <w:hyperlink r:id="rId15">
        <w:r>
          <w:rPr>
            <w:rStyle w:val="Hyperlink"/>
          </w:rPr>
          <w:t xml:space="preserve">../policies/MODEL_MONITORING_POLICY.md</w:t>
        </w:r>
      </w:hyperlink>
    </w:p>
    <w:p>
      <w:pPr>
        <w:pStyle w:val="Compact"/>
        <w:numPr>
          <w:ilvl w:val="0"/>
          <w:numId w:val="1003"/>
        </w:numPr>
      </w:pPr>
      <w:r>
        <w:t xml:space="preserve">Human oversight:</w:t>
      </w:r>
      <w:r>
        <w:t xml:space="preserve"> </w:t>
      </w:r>
      <w:hyperlink r:id="rId16">
        <w:r>
          <w:rPr>
            <w:rStyle w:val="Hyperlink"/>
          </w:rPr>
          <w:t xml:space="preserve">../policies/HUMAN_APPROVAL_POLICY.md</w:t>
        </w:r>
      </w:hyperlink>
    </w:p>
    <w:bookmarkEnd w:id="17"/>
    <w:bookmarkStart w:id="18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file only as contextual governance guidance and never as a substitute for legal, compliance, or formal regulatory interpretation.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models/MODEL_INVENTORY.md" TargetMode="External" /><Relationship Type="http://schemas.openxmlformats.org/officeDocument/2006/relationships/hyperlink" Id="rId16" Target="../policies/HUMAN_APPROVAL_POLICY.md" TargetMode="External" /><Relationship Type="http://schemas.openxmlformats.org/officeDocument/2006/relationships/hyperlink" Id="rId15" Target="../policies/MODEL_MONITORING_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models/MODEL_INVENTORY.md" TargetMode="External" /><Relationship Type="http://schemas.openxmlformats.org/officeDocument/2006/relationships/hyperlink" Id="rId16" Target="../policies/HUMAN_APPROVAL_POLICY.md" TargetMode="External" /><Relationship Type="http://schemas.openxmlformats.org/officeDocument/2006/relationships/hyperlink" Id="rId15" Target="../policies/MODEL_MONITORING_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