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1B6"/>
          <w:sz w:val="26"/>
        </w:rPr>
        <w:t>n8n AUTOMATION CASE STUDY</w:t>
      </w:r>
    </w:p>
    <w:p>
      <w:pPr>
        <w:pStyle w:val="Title"/>
        <w:jc w:val="center"/>
      </w:pPr>
      <w:r>
        <w:t>CI/CD Test Result Intelligence &amp; Release Quality Gate</w:t>
      </w:r>
    </w:p>
    <w:p>
      <w:pPr>
        <w:jc w:val="center"/>
      </w:pPr>
      <w:r>
        <w:rPr>
          <w:color w:val="595959"/>
          <w:sz w:val="28"/>
        </w:rPr>
        <w:t>Automating test-result collection, failure analysis, release scoring, dashboards, and notifications</w:t>
      </w:r>
    </w:p>
    <w:p>
      <w:pPr>
        <w:jc w:val="center"/>
      </w:pPr>
      <w:r>
        <w:rPr>
          <w:b/>
          <w:sz w:val="22"/>
        </w:rPr>
        <w:t>Practical QA &amp; Automation Implementation Blueprint</w:t>
      </w:r>
    </w:p>
    <w:tbl>
      <w:tblPr>
        <w:tblW w:type="auto" w:w="0"/>
        <w:jc w:val="center"/>
        <w:tblLayout w:type="fixed"/>
        <w:tblLook w:firstColumn="1" w:firstRow="1" w:lastColumn="0" w:lastRow="0" w:noHBand="0" w:noVBand="1" w:val="04A0"/>
      </w:tblPr>
      <w:tblGrid>
        <w:gridCol w:w="2592"/>
        <w:gridCol w:w="6192"/>
      </w:tblGrid>
      <w:tr>
        <w:tc>
          <w:tcPr>
            <w:tcW w:type="dxa" w:w="5112"/>
            <w:vAlign w:val="center"/>
            <w:shd w:fill="1F4E79"/>
          </w:tcPr>
          <w:p>
            <w:r/>
            <w:r>
              <w:rPr>
                <w:b/>
                <w:color w:val="FFFFFF"/>
                <w:sz w:val="18"/>
              </w:rPr>
              <w:t>Domain</w:t>
            </w:r>
          </w:p>
        </w:tc>
        <w:tc>
          <w:tcPr>
            <w:tcW w:type="dxa" w:w="5112"/>
            <w:vAlign w:val="center"/>
            <w:shd w:fill="F3F6FA"/>
          </w:tcPr>
          <w:p>
            <w:r/>
            <w:r>
              <w:rPr>
                <w:b w:val="0"/>
                <w:sz w:val="18"/>
              </w:rPr>
              <w:t>Software Quality Engineering</w:t>
            </w:r>
          </w:p>
        </w:tc>
      </w:tr>
      <w:tr>
        <w:tc>
          <w:tcPr>
            <w:tcW w:type="dxa" w:w="5112"/>
            <w:vAlign w:val="center"/>
            <w:shd w:fill="1F4E79"/>
          </w:tcPr>
          <w:p>
            <w:r/>
            <w:r>
              <w:rPr>
                <w:b/>
                <w:color w:val="FFFFFF"/>
                <w:sz w:val="18"/>
              </w:rPr>
              <w:t>Platform</w:t>
            </w:r>
          </w:p>
        </w:tc>
        <w:tc>
          <w:tcPr>
            <w:tcW w:type="dxa" w:w="5112"/>
            <w:vAlign w:val="center"/>
            <w:shd w:fill="F3F6FA"/>
          </w:tcPr>
          <w:p>
            <w:r/>
            <w:r>
              <w:rPr>
                <w:b w:val="0"/>
                <w:sz w:val="18"/>
              </w:rPr>
              <w:t>n8n Workflow Automation</w:t>
            </w:r>
          </w:p>
        </w:tc>
      </w:tr>
      <w:tr>
        <w:tc>
          <w:tcPr>
            <w:tcW w:type="dxa" w:w="5112"/>
            <w:vAlign w:val="center"/>
            <w:shd w:fill="1F4E79"/>
          </w:tcPr>
          <w:p>
            <w:r/>
            <w:r>
              <w:rPr>
                <w:b/>
                <w:color w:val="FFFFFF"/>
                <w:sz w:val="18"/>
              </w:rPr>
              <w:t>Document Type</w:t>
            </w:r>
          </w:p>
        </w:tc>
        <w:tc>
          <w:tcPr>
            <w:tcW w:type="dxa" w:w="5112"/>
            <w:vAlign w:val="center"/>
            <w:shd w:fill="F3F6FA"/>
          </w:tcPr>
          <w:p>
            <w:r/>
            <w:r>
              <w:rPr>
                <w:b w:val="0"/>
                <w:sz w:val="18"/>
              </w:rPr>
              <w:t>Case Study / Implementation Reference</w:t>
            </w:r>
          </w:p>
        </w:tc>
      </w:tr>
    </w:tbl>
    <w:p/>
    <w:p>
      <w:pPr>
        <w:pStyle w:val="Heading1"/>
      </w:pPr>
      <w:r>
        <w:t>Executive Snapshot</w:t>
      </w:r>
    </w:p>
    <w:tbl>
      <w:tblPr>
        <w:tblW w:type="auto" w:w="0"/>
        <w:jc w:val="center"/>
        <w:tblLook w:firstColumn="1" w:firstRow="1" w:lastColumn="0" w:lastRow="0" w:noHBand="0" w:noVBand="1" w:val="04A0"/>
      </w:tblPr>
      <w:tblGrid>
        <w:gridCol w:w="3408"/>
        <w:gridCol w:w="3408"/>
        <w:gridCol w:w="3408"/>
      </w:tblGrid>
      <w:tr>
        <w:tc>
          <w:tcPr>
            <w:tcW w:type="dxa" w:w="3408"/>
            <w:vAlign w:val="center"/>
            <w:shd w:fill="EEF3F8"/>
          </w:tcPr>
          <w:p>
            <w:r/>
            <w:r>
              <w:rPr>
                <w:b/>
                <w:color w:val="1F4E79"/>
                <w:sz w:val="20"/>
              </w:rPr>
              <w:t>Challenge</w:t>
            </w:r>
          </w:p>
          <w:p>
            <w:pPr/>
            <w:r>
              <w:t>Automated test results are distributed across CI tools, reports, logs, and dashboards, making release readiness difficult to assess quickly.</w:t>
            </w:r>
          </w:p>
        </w:tc>
        <w:tc>
          <w:tcPr>
            <w:tcW w:type="dxa" w:w="3408"/>
            <w:vAlign w:val="center"/>
            <w:shd w:fill="EEF3F8"/>
          </w:tcPr>
          <w:p>
            <w:r/>
            <w:r>
              <w:rPr>
                <w:b/>
                <w:color w:val="1F4E79"/>
                <w:sz w:val="20"/>
              </w:rPr>
              <w:t>n8n Solution</w:t>
            </w:r>
          </w:p>
          <w:p>
            <w:pPr/>
            <w:r>
              <w:t>n8n collects execution data, classifies failures, identifies flaky tests, calculates a release quality score, enforces configurable gates, and publishes a concise release summary.</w:t>
            </w:r>
          </w:p>
        </w:tc>
        <w:tc>
          <w:tcPr>
            <w:tcW w:type="dxa" w:w="3408"/>
            <w:vAlign w:val="center"/>
            <w:shd w:fill="EEF3F8"/>
          </w:tcPr>
          <w:p>
            <w:r/>
            <w:r>
              <w:rPr>
                <w:b/>
                <w:color w:val="1F4E79"/>
                <w:sz w:val="20"/>
              </w:rPr>
              <w:t>Business Value</w:t>
            </w:r>
          </w:p>
          <w:p>
            <w:pPr/>
            <w:r>
              <w:t>Faster go/no-go decisions, reduced manual reporting, better visibility of flaky tests and high-risk failures.</w:t>
            </w:r>
          </w:p>
        </w:tc>
      </w:tr>
    </w:tbl>
    <w:p/>
    <w:p>
      <w:pPr>
        <w:pStyle w:val="Heading1"/>
      </w:pPr>
      <w:r>
        <w:t>1. Business Problem</w:t>
      </w:r>
    </w:p>
    <w:p>
      <w:r>
        <w:t>Teams often run unit, API, UI, performance, and security tests in different pipelines. Release managers manually combine pass rates, open defects, flaky tests, and coverage metrics. This creates reporting delay and inconsistent quality decisions.</w:t>
      </w:r>
    </w:p>
    <w:p>
      <w:pPr>
        <w:pStyle w:val="Heading1"/>
      </w:pPr>
      <w:r>
        <w:t>2. Objectives</w:t>
      </w:r>
    </w:p>
    <w:p>
      <w:pPr>
        <w:pStyle w:val="ListBullet"/>
      </w:pPr>
      <w:r>
        <w:t>Collect test execution results from CI/CD pipelines after every relevant build.</w:t>
      </w:r>
    </w:p>
    <w:p>
      <w:pPr>
        <w:pStyle w:val="ListBullet"/>
      </w:pPr>
      <w:r>
        <w:t>Normalize JUnit/JSON/report data into a common execution model.</w:t>
      </w:r>
    </w:p>
    <w:p>
      <w:pPr>
        <w:pStyle w:val="ListBullet"/>
      </w:pPr>
      <w:r>
        <w:t>Distinguish product defects, environment failures, automation defects, and flaky tests.</w:t>
      </w:r>
    </w:p>
    <w:p>
      <w:pPr>
        <w:pStyle w:val="ListBullet"/>
      </w:pPr>
      <w:r>
        <w:t>Calculate a configurable release quality score and quality gate.</w:t>
      </w:r>
    </w:p>
    <w:p>
      <w:pPr>
        <w:pStyle w:val="ListBullet"/>
      </w:pPr>
      <w:r>
        <w:t>Publish a release summary to Teams/Slack/email and optionally update Jira/Confluence/dashboard stores.</w:t>
      </w:r>
    </w:p>
    <w:p>
      <w:pPr>
        <w:pStyle w:val="ListBullet"/>
      </w:pPr>
      <w:r>
        <w:t>Preserve evidence for audit and retrospective analysis.</w:t>
      </w:r>
    </w:p>
    <w:p>
      <w:pPr>
        <w:pStyle w:val="Heading2"/>
      </w:pPr>
      <w:r>
        <w:t>Workflow at a Glance</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3F6FA"/>
          </w:tcPr>
          <w:p>
            <w:pPr>
              <w:jc w:val="center"/>
            </w:pPr>
            <w:r/>
            <w:r>
              <w:rPr>
                <w:b/>
                <w:color w:val="1F4E79"/>
                <w:sz w:val="17"/>
              </w:rPr>
              <w:t>1</w:t>
              <w:br/>
              <w:t>Pipeline Event</w:t>
            </w:r>
          </w:p>
        </w:tc>
        <w:tc>
          <w:tcPr>
            <w:tcW w:type="dxa" w:w="1461"/>
            <w:shd w:fill="E7EEF6"/>
          </w:tcPr>
          <w:p>
            <w:pPr>
              <w:jc w:val="center"/>
            </w:pPr>
            <w:r/>
            <w:r>
              <w:rPr>
                <w:b/>
                <w:color w:val="1F4E79"/>
                <w:sz w:val="17"/>
              </w:rPr>
              <w:t>2</w:t>
              <w:br/>
              <w:t>Fetch Reports</w:t>
            </w:r>
          </w:p>
        </w:tc>
        <w:tc>
          <w:tcPr>
            <w:tcW w:type="dxa" w:w="1461"/>
            <w:shd w:fill="F3F6FA"/>
          </w:tcPr>
          <w:p>
            <w:pPr>
              <w:jc w:val="center"/>
            </w:pPr>
            <w:r/>
            <w:r>
              <w:rPr>
                <w:b/>
                <w:color w:val="1F4E79"/>
                <w:sz w:val="17"/>
              </w:rPr>
              <w:t>3</w:t>
              <w:br/>
              <w:t>Normalize</w:t>
            </w:r>
          </w:p>
        </w:tc>
        <w:tc>
          <w:tcPr>
            <w:tcW w:type="dxa" w:w="1461"/>
            <w:shd w:fill="E7EEF6"/>
          </w:tcPr>
          <w:p>
            <w:pPr>
              <w:jc w:val="center"/>
            </w:pPr>
            <w:r/>
            <w:r>
              <w:rPr>
                <w:b/>
                <w:color w:val="1F4E79"/>
                <w:sz w:val="17"/>
              </w:rPr>
              <w:t>4</w:t>
              <w:br/>
              <w:t>Classify Failures</w:t>
            </w:r>
          </w:p>
        </w:tc>
        <w:tc>
          <w:tcPr>
            <w:tcW w:type="dxa" w:w="1461"/>
            <w:shd w:fill="F3F6FA"/>
          </w:tcPr>
          <w:p>
            <w:pPr>
              <w:jc w:val="center"/>
            </w:pPr>
            <w:r/>
            <w:r>
              <w:rPr>
                <w:b/>
                <w:color w:val="1F4E79"/>
                <w:sz w:val="17"/>
              </w:rPr>
              <w:t>5</w:t>
              <w:br/>
              <w:t>Quality Score</w:t>
            </w:r>
          </w:p>
        </w:tc>
        <w:tc>
          <w:tcPr>
            <w:tcW w:type="dxa" w:w="1461"/>
            <w:shd w:fill="E7EEF6"/>
          </w:tcPr>
          <w:p>
            <w:pPr>
              <w:jc w:val="center"/>
            </w:pPr>
            <w:r/>
            <w:r>
              <w:rPr>
                <w:b/>
                <w:color w:val="1F4E79"/>
                <w:sz w:val="17"/>
              </w:rPr>
              <w:t>6</w:t>
              <w:br/>
              <w:t>Gate Decision</w:t>
            </w:r>
          </w:p>
        </w:tc>
        <w:tc>
          <w:tcPr>
            <w:tcW w:type="dxa" w:w="1461"/>
            <w:shd w:fill="F3F6FA"/>
          </w:tcPr>
          <w:p>
            <w:pPr>
              <w:jc w:val="center"/>
            </w:pPr>
            <w:r/>
            <w:r>
              <w:rPr>
                <w:b/>
                <w:color w:val="1F4E79"/>
                <w:sz w:val="17"/>
              </w:rPr>
              <w:t>7</w:t>
              <w:br/>
              <w:t>Publish Summary</w:t>
            </w:r>
          </w:p>
        </w:tc>
      </w:tr>
    </w:tbl>
    <w:p/>
    <w:p>
      <w:pPr>
        <w:pStyle w:val="Heading2"/>
      </w:pPr>
      <w:r>
        <w:t>Node-by-Node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
              <w:rPr>
                <w:b/>
                <w:color w:val="FFFFFF"/>
                <w:sz w:val="18"/>
              </w:rPr>
              <w:t>Step</w:t>
            </w:r>
          </w:p>
        </w:tc>
        <w:tc>
          <w:tcPr>
            <w:tcW w:type="dxa" w:w="2556"/>
            <w:vAlign w:val="center"/>
            <w:shd w:fill="1F4E79"/>
          </w:tcPr>
          <w:p>
            <w:r/>
            <w:r>
              <w:rPr>
                <w:b/>
                <w:color w:val="FFFFFF"/>
                <w:sz w:val="18"/>
              </w:rPr>
              <w:t>Typical n8n Node</w:t>
            </w:r>
          </w:p>
        </w:tc>
        <w:tc>
          <w:tcPr>
            <w:tcW w:type="dxa" w:w="2556"/>
            <w:vAlign w:val="center"/>
            <w:shd w:fill="1F4E79"/>
          </w:tcPr>
          <w:p>
            <w:r/>
            <w:r>
              <w:rPr>
                <w:b/>
                <w:color w:val="FFFFFF"/>
                <w:sz w:val="18"/>
              </w:rPr>
              <w:t>Purpose</w:t>
            </w:r>
          </w:p>
        </w:tc>
        <w:tc>
          <w:tcPr>
            <w:tcW w:type="dxa" w:w="2556"/>
            <w:vAlign w:val="center"/>
            <w:shd w:fill="1F4E79"/>
          </w:tcPr>
          <w:p>
            <w:r/>
            <w:r>
              <w:rPr>
                <w:b/>
                <w:color w:val="FFFFFF"/>
                <w:sz w:val="18"/>
              </w:rPr>
              <w:t>Key Configuration</w:t>
            </w:r>
          </w:p>
        </w:tc>
      </w:tr>
      <w:tr>
        <w:tc>
          <w:tcPr>
            <w:tcW w:type="dxa" w:w="2556"/>
            <w:vAlign w:val="center"/>
          </w:tcPr>
          <w:p>
            <w:r/>
            <w:r>
              <w:rPr>
                <w:b w:val="0"/>
                <w:sz w:val="17"/>
              </w:rPr>
              <w:t>1</w:t>
            </w:r>
          </w:p>
        </w:tc>
        <w:tc>
          <w:tcPr>
            <w:tcW w:type="dxa" w:w="2556"/>
            <w:vAlign w:val="center"/>
          </w:tcPr>
          <w:p>
            <w:r/>
            <w:r>
              <w:rPr>
                <w:b w:val="0"/>
                <w:sz w:val="17"/>
              </w:rPr>
              <w:t>Webhook / CI Trigger</w:t>
            </w:r>
          </w:p>
        </w:tc>
        <w:tc>
          <w:tcPr>
            <w:tcW w:type="dxa" w:w="2556"/>
            <w:vAlign w:val="center"/>
          </w:tcPr>
          <w:p>
            <w:r/>
            <w:r>
              <w:rPr>
                <w:b w:val="0"/>
                <w:sz w:val="17"/>
              </w:rPr>
              <w:t>Receive build completed event</w:t>
            </w:r>
          </w:p>
        </w:tc>
        <w:tc>
          <w:tcPr>
            <w:tcW w:type="dxa" w:w="2556"/>
            <w:vAlign w:val="center"/>
          </w:tcPr>
          <w:p>
            <w:r/>
            <w:r>
              <w:rPr>
                <w:b w:val="0"/>
                <w:sz w:val="17"/>
              </w:rPr>
              <w:t>Build ID, branch, commit, environment</w:t>
            </w:r>
          </w:p>
        </w:tc>
      </w:tr>
      <w:tr>
        <w:tc>
          <w:tcPr>
            <w:tcW w:type="dxa" w:w="2556"/>
            <w:vAlign w:val="center"/>
            <w:shd w:fill="F8FAFC"/>
          </w:tcPr>
          <w:p>
            <w:r/>
            <w:r>
              <w:rPr>
                <w:b w:val="0"/>
                <w:sz w:val="17"/>
              </w:rPr>
              <w:t>2</w:t>
            </w:r>
          </w:p>
        </w:tc>
        <w:tc>
          <w:tcPr>
            <w:tcW w:type="dxa" w:w="2556"/>
            <w:vAlign w:val="center"/>
            <w:shd w:fill="F8FAFC"/>
          </w:tcPr>
          <w:p>
            <w:r/>
            <w:r>
              <w:rPr>
                <w:b w:val="0"/>
                <w:sz w:val="17"/>
              </w:rPr>
              <w:t>HTTP Request / S3 / File</w:t>
            </w:r>
          </w:p>
        </w:tc>
        <w:tc>
          <w:tcPr>
            <w:tcW w:type="dxa" w:w="2556"/>
            <w:vAlign w:val="center"/>
            <w:shd w:fill="F8FAFC"/>
          </w:tcPr>
          <w:p>
            <w:r/>
            <w:r>
              <w:rPr>
                <w:b w:val="0"/>
                <w:sz w:val="17"/>
              </w:rPr>
              <w:t>Download test reports and metadata</w:t>
            </w:r>
          </w:p>
        </w:tc>
        <w:tc>
          <w:tcPr>
            <w:tcW w:type="dxa" w:w="2556"/>
            <w:vAlign w:val="center"/>
            <w:shd w:fill="F8FAFC"/>
          </w:tcPr>
          <w:p>
            <w:r/>
            <w:r>
              <w:rPr>
                <w:b w:val="0"/>
                <w:sz w:val="17"/>
              </w:rPr>
              <w:t>JUnit XML, JSON, coverage, performance result</w:t>
            </w:r>
          </w:p>
        </w:tc>
      </w:tr>
      <w:tr>
        <w:tc>
          <w:tcPr>
            <w:tcW w:type="dxa" w:w="2556"/>
            <w:vAlign w:val="center"/>
          </w:tcPr>
          <w:p>
            <w:r/>
            <w:r>
              <w:rPr>
                <w:b w:val="0"/>
                <w:sz w:val="17"/>
              </w:rPr>
              <w:t>3</w:t>
            </w:r>
          </w:p>
        </w:tc>
        <w:tc>
          <w:tcPr>
            <w:tcW w:type="dxa" w:w="2556"/>
            <w:vAlign w:val="center"/>
          </w:tcPr>
          <w:p>
            <w:r/>
            <w:r>
              <w:rPr>
                <w:b w:val="0"/>
                <w:sz w:val="17"/>
              </w:rPr>
              <w:t>XML / Code / Set</w:t>
            </w:r>
          </w:p>
        </w:tc>
        <w:tc>
          <w:tcPr>
            <w:tcW w:type="dxa" w:w="2556"/>
            <w:vAlign w:val="center"/>
          </w:tcPr>
          <w:p>
            <w:r/>
            <w:r>
              <w:rPr>
                <w:b w:val="0"/>
                <w:sz w:val="17"/>
              </w:rPr>
              <w:t>Normalize result fields</w:t>
            </w:r>
          </w:p>
        </w:tc>
        <w:tc>
          <w:tcPr>
            <w:tcW w:type="dxa" w:w="2556"/>
            <w:vAlign w:val="center"/>
          </w:tcPr>
          <w:p>
            <w:r/>
            <w:r>
              <w:rPr>
                <w:b w:val="0"/>
                <w:sz w:val="17"/>
              </w:rPr>
              <w:t>suite, test, status, duration, error, retry count</w:t>
            </w:r>
          </w:p>
        </w:tc>
      </w:tr>
      <w:tr>
        <w:tc>
          <w:tcPr>
            <w:tcW w:type="dxa" w:w="2556"/>
            <w:vAlign w:val="center"/>
            <w:shd w:fill="F8FAFC"/>
          </w:tcPr>
          <w:p>
            <w:r/>
            <w:r>
              <w:rPr>
                <w:b w:val="0"/>
                <w:sz w:val="17"/>
              </w:rPr>
              <w:t>4</w:t>
            </w:r>
          </w:p>
        </w:tc>
        <w:tc>
          <w:tcPr>
            <w:tcW w:type="dxa" w:w="2556"/>
            <w:vAlign w:val="center"/>
            <w:shd w:fill="F8FAFC"/>
          </w:tcPr>
          <w:p>
            <w:r/>
            <w:r>
              <w:rPr>
                <w:b w:val="0"/>
                <w:sz w:val="17"/>
              </w:rPr>
              <w:t>Database Query</w:t>
            </w:r>
          </w:p>
        </w:tc>
        <w:tc>
          <w:tcPr>
            <w:tcW w:type="dxa" w:w="2556"/>
            <w:vAlign w:val="center"/>
            <w:shd w:fill="F8FAFC"/>
          </w:tcPr>
          <w:p>
            <w:r/>
            <w:r>
              <w:rPr>
                <w:b w:val="0"/>
                <w:sz w:val="17"/>
              </w:rPr>
              <w:t>Load previous executions</w:t>
            </w:r>
          </w:p>
        </w:tc>
        <w:tc>
          <w:tcPr>
            <w:tcW w:type="dxa" w:w="2556"/>
            <w:vAlign w:val="center"/>
            <w:shd w:fill="F8FAFC"/>
          </w:tcPr>
          <w:p>
            <w:r/>
            <w:r>
              <w:rPr>
                <w:b w:val="0"/>
                <w:sz w:val="17"/>
              </w:rPr>
              <w:t>Used for trend and flaky-test detection</w:t>
            </w:r>
          </w:p>
        </w:tc>
      </w:tr>
      <w:tr>
        <w:tc>
          <w:tcPr>
            <w:tcW w:type="dxa" w:w="2556"/>
            <w:vAlign w:val="center"/>
          </w:tcPr>
          <w:p>
            <w:r/>
            <w:r>
              <w:rPr>
                <w:b w:val="0"/>
                <w:sz w:val="17"/>
              </w:rPr>
              <w:t>5</w:t>
            </w:r>
          </w:p>
        </w:tc>
        <w:tc>
          <w:tcPr>
            <w:tcW w:type="dxa" w:w="2556"/>
            <w:vAlign w:val="center"/>
          </w:tcPr>
          <w:p>
            <w:r/>
            <w:r>
              <w:rPr>
                <w:b w:val="0"/>
                <w:sz w:val="17"/>
              </w:rPr>
              <w:t>LLM Connector + Rules</w:t>
            </w:r>
          </w:p>
        </w:tc>
        <w:tc>
          <w:tcPr>
            <w:tcW w:type="dxa" w:w="2556"/>
            <w:vAlign w:val="center"/>
          </w:tcPr>
          <w:p>
            <w:r/>
            <w:r>
              <w:rPr>
                <w:b w:val="0"/>
                <w:sz w:val="17"/>
              </w:rPr>
              <w:t>Summarize failure clusters and likely cause</w:t>
            </w:r>
          </w:p>
        </w:tc>
        <w:tc>
          <w:tcPr>
            <w:tcW w:type="dxa" w:w="2556"/>
            <w:vAlign w:val="center"/>
          </w:tcPr>
          <w:p>
            <w:r/>
            <w:r>
              <w:rPr>
                <w:b w:val="0"/>
                <w:sz w:val="17"/>
              </w:rPr>
              <w:t>Classify: product, automation, data, environment</w:t>
            </w:r>
          </w:p>
        </w:tc>
      </w:tr>
      <w:tr>
        <w:tc>
          <w:tcPr>
            <w:tcW w:type="dxa" w:w="2556"/>
            <w:vAlign w:val="center"/>
            <w:shd w:fill="F8FAFC"/>
          </w:tcPr>
          <w:p>
            <w:r/>
            <w:r>
              <w:rPr>
                <w:b w:val="0"/>
                <w:sz w:val="17"/>
              </w:rPr>
              <w:t>6</w:t>
            </w:r>
          </w:p>
        </w:tc>
        <w:tc>
          <w:tcPr>
            <w:tcW w:type="dxa" w:w="2556"/>
            <w:vAlign w:val="center"/>
            <w:shd w:fill="F8FAFC"/>
          </w:tcPr>
          <w:p>
            <w:r/>
            <w:r>
              <w:rPr>
                <w:b w:val="0"/>
                <w:sz w:val="17"/>
              </w:rPr>
              <w:t>Code</w:t>
            </w:r>
          </w:p>
        </w:tc>
        <w:tc>
          <w:tcPr>
            <w:tcW w:type="dxa" w:w="2556"/>
            <w:vAlign w:val="center"/>
            <w:shd w:fill="F8FAFC"/>
          </w:tcPr>
          <w:p>
            <w:r/>
            <w:r>
              <w:rPr>
                <w:b w:val="0"/>
                <w:sz w:val="17"/>
              </w:rPr>
              <w:t>Calculate release quality score</w:t>
            </w:r>
          </w:p>
        </w:tc>
        <w:tc>
          <w:tcPr>
            <w:tcW w:type="dxa" w:w="2556"/>
            <w:vAlign w:val="center"/>
            <w:shd w:fill="F8FAFC"/>
          </w:tcPr>
          <w:p>
            <w:r/>
            <w:r>
              <w:rPr>
                <w:b w:val="0"/>
                <w:sz w:val="17"/>
              </w:rPr>
              <w:t>Weights for critical failures, pass rate, coverage, flaky rate, defect status</w:t>
            </w:r>
          </w:p>
        </w:tc>
      </w:tr>
      <w:tr>
        <w:tc>
          <w:tcPr>
            <w:tcW w:type="dxa" w:w="2556"/>
            <w:vAlign w:val="center"/>
          </w:tcPr>
          <w:p>
            <w:r/>
            <w:r>
              <w:rPr>
                <w:b w:val="0"/>
                <w:sz w:val="17"/>
              </w:rPr>
              <w:t>7</w:t>
            </w:r>
          </w:p>
        </w:tc>
        <w:tc>
          <w:tcPr>
            <w:tcW w:type="dxa" w:w="2556"/>
            <w:vAlign w:val="center"/>
          </w:tcPr>
          <w:p>
            <w:r/>
            <w:r>
              <w:rPr>
                <w:b w:val="0"/>
                <w:sz w:val="17"/>
              </w:rPr>
              <w:t>IF / Switch</w:t>
            </w:r>
          </w:p>
        </w:tc>
        <w:tc>
          <w:tcPr>
            <w:tcW w:type="dxa" w:w="2556"/>
            <w:vAlign w:val="center"/>
          </w:tcPr>
          <w:p>
            <w:r/>
            <w:r>
              <w:rPr>
                <w:b w:val="0"/>
                <w:sz w:val="17"/>
              </w:rPr>
              <w:t>Evaluate release gate</w:t>
            </w:r>
          </w:p>
        </w:tc>
        <w:tc>
          <w:tcPr>
            <w:tcW w:type="dxa" w:w="2556"/>
            <w:vAlign w:val="center"/>
          </w:tcPr>
          <w:p>
            <w:r/>
            <w:r>
              <w:rPr>
                <w:b w:val="0"/>
                <w:sz w:val="17"/>
              </w:rPr>
              <w:t>PASS / CONDITIONAL / FAIL</w:t>
            </w:r>
          </w:p>
        </w:tc>
      </w:tr>
      <w:tr>
        <w:tc>
          <w:tcPr>
            <w:tcW w:type="dxa" w:w="2556"/>
            <w:vAlign w:val="center"/>
            <w:shd w:fill="F8FAFC"/>
          </w:tcPr>
          <w:p>
            <w:r/>
            <w:r>
              <w:rPr>
                <w:b w:val="0"/>
                <w:sz w:val="17"/>
              </w:rPr>
              <w:t>8</w:t>
            </w:r>
          </w:p>
        </w:tc>
        <w:tc>
          <w:tcPr>
            <w:tcW w:type="dxa" w:w="2556"/>
            <w:vAlign w:val="center"/>
            <w:shd w:fill="F8FAFC"/>
          </w:tcPr>
          <w:p>
            <w:r/>
            <w:r>
              <w:rPr>
                <w:b w:val="0"/>
                <w:sz w:val="17"/>
              </w:rPr>
              <w:t>Teams / Slack / Email</w:t>
            </w:r>
          </w:p>
        </w:tc>
        <w:tc>
          <w:tcPr>
            <w:tcW w:type="dxa" w:w="2556"/>
            <w:vAlign w:val="center"/>
            <w:shd w:fill="F8FAFC"/>
          </w:tcPr>
          <w:p>
            <w:r/>
            <w:r>
              <w:rPr>
                <w:b w:val="0"/>
                <w:sz w:val="17"/>
              </w:rPr>
              <w:t>Publish concise release-quality report</w:t>
            </w:r>
          </w:p>
        </w:tc>
        <w:tc>
          <w:tcPr>
            <w:tcW w:type="dxa" w:w="2556"/>
            <w:vAlign w:val="center"/>
            <w:shd w:fill="F8FAFC"/>
          </w:tcPr>
          <w:p>
            <w:r/>
            <w:r>
              <w:rPr>
                <w:b w:val="0"/>
                <w:sz w:val="17"/>
              </w:rPr>
              <w:t>Top failures, trends, blockers, gate result</w:t>
            </w:r>
          </w:p>
        </w:tc>
      </w:tr>
      <w:tr>
        <w:tc>
          <w:tcPr>
            <w:tcW w:type="dxa" w:w="2556"/>
            <w:vAlign w:val="center"/>
          </w:tcPr>
          <w:p>
            <w:r/>
            <w:r>
              <w:rPr>
                <w:b w:val="0"/>
                <w:sz w:val="17"/>
              </w:rPr>
              <w:t>9</w:t>
            </w:r>
          </w:p>
        </w:tc>
        <w:tc>
          <w:tcPr>
            <w:tcW w:type="dxa" w:w="2556"/>
            <w:vAlign w:val="center"/>
          </w:tcPr>
          <w:p>
            <w:r/>
            <w:r>
              <w:rPr>
                <w:b w:val="0"/>
                <w:sz w:val="17"/>
              </w:rPr>
              <w:t>Database / Jira / Confluence API</w:t>
            </w:r>
          </w:p>
        </w:tc>
        <w:tc>
          <w:tcPr>
            <w:tcW w:type="dxa" w:w="2556"/>
            <w:vAlign w:val="center"/>
          </w:tcPr>
          <w:p>
            <w:r/>
            <w:r>
              <w:rPr>
                <w:b w:val="0"/>
                <w:sz w:val="17"/>
              </w:rPr>
              <w:t>Persist evidence and release decision</w:t>
            </w:r>
          </w:p>
        </w:tc>
        <w:tc>
          <w:tcPr>
            <w:tcW w:type="dxa" w:w="2556"/>
            <w:vAlign w:val="center"/>
          </w:tcPr>
          <w:p>
            <w:r/>
            <w:r>
              <w:rPr>
                <w:b w:val="0"/>
                <w:sz w:val="17"/>
              </w:rPr>
              <w:t>Build traceability and history</w:t>
            </w:r>
          </w:p>
        </w:tc>
      </w:tr>
    </w:tbl>
    <w:p/>
    <w:p>
      <w:pPr>
        <w:pStyle w:val="Heading1"/>
      </w:pPr>
      <w:r>
        <w:t>3. Example Quality Score</w:t>
      </w:r>
    </w:p>
    <w:p>
      <w:r>
        <w:t>A sample model can combine multiple signals rather than relying only on pass percentage: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Signal</w:t>
            </w:r>
          </w:p>
        </w:tc>
        <w:tc>
          <w:tcPr>
            <w:tcW w:type="dxa" w:w="3408"/>
            <w:vAlign w:val="center"/>
            <w:shd w:fill="1F4E79"/>
          </w:tcPr>
          <w:p>
            <w:r/>
            <w:r>
              <w:rPr>
                <w:b/>
                <w:color w:val="FFFFFF"/>
                <w:sz w:val="18"/>
              </w:rPr>
              <w:t>Illustrative Weight</w:t>
            </w:r>
          </w:p>
        </w:tc>
        <w:tc>
          <w:tcPr>
            <w:tcW w:type="dxa" w:w="3408"/>
            <w:vAlign w:val="center"/>
            <w:shd w:fill="1F4E79"/>
          </w:tcPr>
          <w:p>
            <w:r/>
            <w:r>
              <w:rPr>
                <w:b/>
                <w:color w:val="FFFFFF"/>
                <w:sz w:val="18"/>
              </w:rPr>
              <w:t>Example Rule</w:t>
            </w:r>
          </w:p>
        </w:tc>
      </w:tr>
      <w:tr>
        <w:tc>
          <w:tcPr>
            <w:tcW w:type="dxa" w:w="3408"/>
            <w:vAlign w:val="center"/>
          </w:tcPr>
          <w:p>
            <w:r/>
            <w:r>
              <w:rPr>
                <w:b w:val="0"/>
                <w:sz w:val="17"/>
              </w:rPr>
              <w:t>Critical test failures</w:t>
            </w:r>
          </w:p>
        </w:tc>
        <w:tc>
          <w:tcPr>
            <w:tcW w:type="dxa" w:w="3408"/>
            <w:vAlign w:val="center"/>
          </w:tcPr>
          <w:p>
            <w:r/>
            <w:r>
              <w:rPr>
                <w:b w:val="0"/>
                <w:sz w:val="17"/>
              </w:rPr>
              <w:t>35%</w:t>
            </w:r>
          </w:p>
        </w:tc>
        <w:tc>
          <w:tcPr>
            <w:tcW w:type="dxa" w:w="3408"/>
            <w:vAlign w:val="center"/>
          </w:tcPr>
          <w:p>
            <w:r/>
            <w:r>
              <w:rPr>
                <w:b w:val="0"/>
                <w:sz w:val="17"/>
              </w:rPr>
              <w:t>Any unresolved critical failure can force FAIL</w:t>
            </w:r>
          </w:p>
        </w:tc>
      </w:tr>
      <w:tr>
        <w:tc>
          <w:tcPr>
            <w:tcW w:type="dxa" w:w="3408"/>
            <w:vAlign w:val="center"/>
          </w:tcPr>
          <w:p>
            <w:r/>
            <w:r>
              <w:rPr>
                <w:b w:val="0"/>
                <w:sz w:val="17"/>
              </w:rPr>
              <w:t>Overall automated pass rate</w:t>
            </w:r>
          </w:p>
        </w:tc>
        <w:tc>
          <w:tcPr>
            <w:tcW w:type="dxa" w:w="3408"/>
            <w:vAlign w:val="center"/>
          </w:tcPr>
          <w:p>
            <w:r/>
            <w:r>
              <w:rPr>
                <w:b w:val="0"/>
                <w:sz w:val="17"/>
              </w:rPr>
              <w:t>20%</w:t>
            </w:r>
          </w:p>
        </w:tc>
        <w:tc>
          <w:tcPr>
            <w:tcW w:type="dxa" w:w="3408"/>
            <w:vAlign w:val="center"/>
          </w:tcPr>
          <w:p>
            <w:r/>
            <w:r>
              <w:rPr>
                <w:b w:val="0"/>
                <w:sz w:val="17"/>
              </w:rPr>
              <w:t>Higher score above agreed threshold</w:t>
            </w:r>
          </w:p>
        </w:tc>
      </w:tr>
      <w:tr>
        <w:tc>
          <w:tcPr>
            <w:tcW w:type="dxa" w:w="3408"/>
            <w:vAlign w:val="center"/>
          </w:tcPr>
          <w:p>
            <w:r/>
            <w:r>
              <w:rPr>
                <w:b w:val="0"/>
                <w:sz w:val="17"/>
              </w:rPr>
              <w:t>Risk-based coverage</w:t>
            </w:r>
          </w:p>
        </w:tc>
        <w:tc>
          <w:tcPr>
            <w:tcW w:type="dxa" w:w="3408"/>
            <w:vAlign w:val="center"/>
          </w:tcPr>
          <w:p>
            <w:r/>
            <w:r>
              <w:rPr>
                <w:b w:val="0"/>
                <w:sz w:val="17"/>
              </w:rPr>
              <w:t>20%</w:t>
            </w:r>
          </w:p>
        </w:tc>
        <w:tc>
          <w:tcPr>
            <w:tcW w:type="dxa" w:w="3408"/>
            <w:vAlign w:val="center"/>
          </w:tcPr>
          <w:p>
            <w:r/>
            <w:r>
              <w:rPr>
                <w:b w:val="0"/>
                <w:sz w:val="17"/>
              </w:rPr>
              <w:t>High-risk requirement coverage has more weight</w:t>
            </w:r>
          </w:p>
        </w:tc>
      </w:tr>
      <w:tr>
        <w:tc>
          <w:tcPr>
            <w:tcW w:type="dxa" w:w="3408"/>
            <w:vAlign w:val="center"/>
          </w:tcPr>
          <w:p>
            <w:r/>
            <w:r>
              <w:rPr>
                <w:b w:val="0"/>
                <w:sz w:val="17"/>
              </w:rPr>
              <w:t>Open blocker/critical defects</w:t>
            </w:r>
          </w:p>
        </w:tc>
        <w:tc>
          <w:tcPr>
            <w:tcW w:type="dxa" w:w="3408"/>
            <w:vAlign w:val="center"/>
          </w:tcPr>
          <w:p>
            <w:r/>
            <w:r>
              <w:rPr>
                <w:b w:val="0"/>
                <w:sz w:val="17"/>
              </w:rPr>
              <w:t>15%</w:t>
            </w:r>
          </w:p>
        </w:tc>
        <w:tc>
          <w:tcPr>
            <w:tcW w:type="dxa" w:w="3408"/>
            <w:vAlign w:val="center"/>
          </w:tcPr>
          <w:p>
            <w:r/>
            <w:r>
              <w:rPr>
                <w:b w:val="0"/>
                <w:sz w:val="17"/>
              </w:rPr>
              <w:t>Penalty for unresolved release blockers</w:t>
            </w:r>
          </w:p>
        </w:tc>
      </w:tr>
      <w:tr>
        <w:tc>
          <w:tcPr>
            <w:tcW w:type="dxa" w:w="3408"/>
            <w:vAlign w:val="center"/>
          </w:tcPr>
          <w:p>
            <w:r/>
            <w:r>
              <w:rPr>
                <w:b w:val="0"/>
                <w:sz w:val="17"/>
              </w:rPr>
              <w:t>Flaky test ratio</w:t>
            </w:r>
          </w:p>
        </w:tc>
        <w:tc>
          <w:tcPr>
            <w:tcW w:type="dxa" w:w="3408"/>
            <w:vAlign w:val="center"/>
          </w:tcPr>
          <w:p>
            <w:r/>
            <w:r>
              <w:rPr>
                <w:b w:val="0"/>
                <w:sz w:val="17"/>
              </w:rPr>
              <w:t>10%</w:t>
            </w:r>
          </w:p>
        </w:tc>
        <w:tc>
          <w:tcPr>
            <w:tcW w:type="dxa" w:w="3408"/>
            <w:vAlign w:val="center"/>
          </w:tcPr>
          <w:p>
            <w:r/>
            <w:r>
              <w:rPr>
                <w:b w:val="0"/>
                <w:sz w:val="17"/>
              </w:rPr>
              <w:t>Penalty when instability exceeds threshold</w:t>
            </w:r>
          </w:p>
        </w:tc>
      </w:tr>
    </w:tbl>
    <w:p>
      <w:r>
        <w:t>Weights are illustrative and should be calibrated using the organization’s risk model and release history.</w:t>
      </w:r>
    </w:p>
    <w:p>
      <w:pPr>
        <w:pStyle w:val="Heading1"/>
      </w:pPr>
      <w:r>
        <w:t>4. Implementation Steps</w:t>
      </w:r>
    </w:p>
    <w:p>
      <w:pPr>
        <w:pStyle w:val="ListNumber"/>
      </w:pPr>
      <w:r>
        <w:t>Trigger n8n when the CI pipeline completes.</w:t>
      </w:r>
    </w:p>
    <w:p>
      <w:pPr>
        <w:pStyle w:val="ListNumber"/>
      </w:pPr>
      <w:r>
        <w:t>Fetch reports, test metadata, code-coverage data, and release defect status.</w:t>
      </w:r>
    </w:p>
    <w:p>
      <w:pPr>
        <w:pStyle w:val="ListNumber"/>
      </w:pPr>
      <w:r>
        <w:t>Normalize all sources into a common execution JSON schema.</w:t>
      </w:r>
    </w:p>
    <w:p>
      <w:pPr>
        <w:pStyle w:val="ListNumber"/>
      </w:pPr>
      <w:r>
        <w:t>Compare current failed tests with previous runs to detect recurring or flaky behavior.</w:t>
      </w:r>
    </w:p>
    <w:p>
      <w:pPr>
        <w:pStyle w:val="ListNumber"/>
      </w:pPr>
      <w:r>
        <w:t>Use deterministic rules first, then AI assistance to summarize failure clusters and probable causes.</w:t>
      </w:r>
    </w:p>
    <w:p>
      <w:pPr>
        <w:pStyle w:val="ListNumber"/>
      </w:pPr>
      <w:r>
        <w:t>Calculate the release quality score and evaluate hard-stop conditions.</w:t>
      </w:r>
    </w:p>
    <w:p>
      <w:pPr>
        <w:pStyle w:val="ListNumber"/>
      </w:pPr>
      <w:r>
        <w:t>Publish the gate result with evidence and links to source reports.</w:t>
      </w:r>
    </w:p>
    <w:p>
      <w:pPr>
        <w:pStyle w:val="ListNumber"/>
      </w:pPr>
      <w:r>
        <w:t>Persist execution data for trend analysis and retrospective reporting.</w:t>
      </w:r>
    </w:p>
    <w:p>
      <w:pPr>
        <w:pStyle w:val="ListNumber"/>
      </w:pPr>
      <w:r>
        <w:t>Create follow-up tickets for persistent flaky tests or automation defects when thresholds are crossed.</w:t>
      </w:r>
    </w:p>
    <w:p>
      <w:pPr>
        <w:pStyle w:val="Heading1"/>
      </w:pPr>
      <w:r>
        <w:t>5. Controls and Guardrails</w:t>
      </w:r>
    </w:p>
    <w:p>
      <w:pPr>
        <w:pStyle w:val="ListBullet"/>
      </w:pPr>
      <w:r>
        <w:t>Keep the actual release gate deterministic and policy-driven; use AI for explanation and classification, not the sole go/no-go decision.</w:t>
      </w:r>
    </w:p>
    <w:p>
      <w:pPr>
        <w:pStyle w:val="ListBullet"/>
      </w:pPr>
      <w:r>
        <w:t>Define explicit hard-stop rules for blocker defects, security issues, or failed critical journeys.</w:t>
      </w:r>
    </w:p>
    <w:p>
      <w:pPr>
        <w:pStyle w:val="ListBullet"/>
      </w:pPr>
      <w:r>
        <w:t>Store the exact inputs used to calculate each gate decision.</w:t>
      </w:r>
    </w:p>
    <w:p>
      <w:pPr>
        <w:pStyle w:val="ListBullet"/>
      </w:pPr>
      <w:r>
        <w:t>Separate product failures from test-infrastructure failures to avoid misleading pass-rate metrics.</w:t>
      </w:r>
    </w:p>
    <w:p>
      <w:pPr>
        <w:pStyle w:val="ListBullet"/>
      </w:pPr>
      <w:r>
        <w:t>Review and recalibrate thresholds periodically using release outcomes and escaped defects.</w:t>
      </w:r>
    </w:p>
    <w:p>
      <w:pPr>
        <w:pStyle w:val="Heading2"/>
      </w:pPr>
      <w:r>
        <w:t>Success Metrics / KPIs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KPI</w:t>
            </w:r>
          </w:p>
        </w:tc>
        <w:tc>
          <w:tcPr>
            <w:tcW w:type="dxa" w:w="3408"/>
            <w:vAlign w:val="center"/>
            <w:shd w:fill="1F4E79"/>
          </w:tcPr>
          <w:p>
            <w:r/>
            <w:r>
              <w:rPr>
                <w:b/>
                <w:color w:val="FFFFFF"/>
                <w:sz w:val="18"/>
              </w:rPr>
              <w:t>How to Measure</w:t>
            </w:r>
          </w:p>
        </w:tc>
        <w:tc>
          <w:tcPr>
            <w:tcW w:type="dxa" w:w="3408"/>
            <w:vAlign w:val="center"/>
            <w:shd w:fill="1F4E79"/>
          </w:tcPr>
          <w:p>
            <w:r/>
            <w:r>
              <w:rPr>
                <w:b/>
                <w:color w:val="FFFFFF"/>
                <w:sz w:val="18"/>
              </w:rPr>
              <w:t>Target / Expected Direction</w:t>
            </w:r>
          </w:p>
        </w:tc>
      </w:tr>
      <w:tr>
        <w:tc>
          <w:tcPr>
            <w:tcW w:type="dxa" w:w="3408"/>
            <w:vAlign w:val="center"/>
          </w:tcPr>
          <w:p>
            <w:r/>
            <w:r>
              <w:rPr>
                <w:b w:val="0"/>
                <w:sz w:val="17"/>
              </w:rPr>
              <w:t>Release reporting effort</w:t>
            </w:r>
          </w:p>
        </w:tc>
        <w:tc>
          <w:tcPr>
            <w:tcW w:type="dxa" w:w="3408"/>
            <w:vAlign w:val="center"/>
          </w:tcPr>
          <w:p>
            <w:r/>
            <w:r>
              <w:rPr>
                <w:b w:val="0"/>
                <w:sz w:val="17"/>
              </w:rPr>
              <w:t>Manual hours spent consolidating results</w:t>
            </w:r>
          </w:p>
        </w:tc>
        <w:tc>
          <w:tcPr>
            <w:tcW w:type="dxa" w:w="3408"/>
            <w:vAlign w:val="center"/>
          </w:tcPr>
          <w:p>
            <w:r/>
            <w:r>
              <w:rPr>
                <w:b w:val="0"/>
                <w:sz w:val="17"/>
              </w:rPr>
              <w:t>↓ 70–90%</w:t>
            </w:r>
          </w:p>
        </w:tc>
      </w:tr>
      <w:tr>
        <w:tc>
          <w:tcPr>
            <w:tcW w:type="dxa" w:w="3408"/>
            <w:vAlign w:val="center"/>
          </w:tcPr>
          <w:p>
            <w:r/>
            <w:r>
              <w:rPr>
                <w:b w:val="0"/>
                <w:sz w:val="17"/>
              </w:rPr>
              <w:t>Decision lead time</w:t>
            </w:r>
          </w:p>
        </w:tc>
        <w:tc>
          <w:tcPr>
            <w:tcW w:type="dxa" w:w="3408"/>
            <w:vAlign w:val="center"/>
          </w:tcPr>
          <w:p>
            <w:r/>
            <w:r>
              <w:rPr>
                <w:b w:val="0"/>
                <w:sz w:val="17"/>
              </w:rPr>
              <w:t>Pipeline complete → quality decision</w:t>
            </w:r>
          </w:p>
        </w:tc>
        <w:tc>
          <w:tcPr>
            <w:tcW w:type="dxa" w:w="3408"/>
            <w:vAlign w:val="center"/>
          </w:tcPr>
          <w:p>
            <w:r/>
            <w:r>
              <w:rPr>
                <w:b w:val="0"/>
                <w:sz w:val="17"/>
              </w:rPr>
              <w:t>↓ substantially</w:t>
            </w:r>
          </w:p>
        </w:tc>
      </w:tr>
      <w:tr>
        <w:tc>
          <w:tcPr>
            <w:tcW w:type="dxa" w:w="3408"/>
            <w:vAlign w:val="center"/>
          </w:tcPr>
          <w:p>
            <w:r/>
            <w:r>
              <w:rPr>
                <w:b w:val="0"/>
                <w:sz w:val="17"/>
              </w:rPr>
              <w:t>Flaky-test ratio</w:t>
            </w:r>
          </w:p>
        </w:tc>
        <w:tc>
          <w:tcPr>
            <w:tcW w:type="dxa" w:w="3408"/>
            <w:vAlign w:val="center"/>
          </w:tcPr>
          <w:p>
            <w:r/>
            <w:r>
              <w:rPr>
                <w:b w:val="0"/>
                <w:sz w:val="17"/>
              </w:rPr>
              <w:t>Flaky failures / total automated tests</w:t>
            </w:r>
          </w:p>
        </w:tc>
        <w:tc>
          <w:tcPr>
            <w:tcW w:type="dxa" w:w="3408"/>
            <w:vAlign w:val="center"/>
          </w:tcPr>
          <w:p>
            <w:r/>
            <w:r>
              <w:rPr>
                <w:b w:val="0"/>
                <w:sz w:val="17"/>
              </w:rPr>
              <w:t>↓ over time</w:t>
            </w:r>
          </w:p>
        </w:tc>
      </w:tr>
      <w:tr>
        <w:tc>
          <w:tcPr>
            <w:tcW w:type="dxa" w:w="3408"/>
            <w:vAlign w:val="center"/>
          </w:tcPr>
          <w:p>
            <w:r/>
            <w:r>
              <w:rPr>
                <w:b w:val="0"/>
                <w:sz w:val="17"/>
              </w:rPr>
              <w:t>Escaped critical defects</w:t>
            </w:r>
          </w:p>
        </w:tc>
        <w:tc>
          <w:tcPr>
            <w:tcW w:type="dxa" w:w="3408"/>
            <w:vAlign w:val="center"/>
          </w:tcPr>
          <w:p>
            <w:r/>
            <w:r>
              <w:rPr>
                <w:b w:val="0"/>
                <w:sz w:val="17"/>
              </w:rPr>
              <w:t>Critical defects found after release</w:t>
            </w:r>
          </w:p>
        </w:tc>
        <w:tc>
          <w:tcPr>
            <w:tcW w:type="dxa" w:w="3408"/>
            <w:vAlign w:val="center"/>
          </w:tcPr>
          <w:p>
            <w:r/>
            <w:r>
              <w:rPr>
                <w:b w:val="0"/>
                <w:sz w:val="17"/>
              </w:rPr>
              <w:t>↓</w:t>
            </w:r>
          </w:p>
        </w:tc>
      </w:tr>
      <w:tr>
        <w:tc>
          <w:tcPr>
            <w:tcW w:type="dxa" w:w="3408"/>
            <w:vAlign w:val="center"/>
          </w:tcPr>
          <w:p>
            <w:r/>
            <w:r>
              <w:rPr>
                <w:b w:val="0"/>
                <w:sz w:val="17"/>
              </w:rPr>
              <w:t>Gate explainability</w:t>
            </w:r>
          </w:p>
        </w:tc>
        <w:tc>
          <w:tcPr>
            <w:tcW w:type="dxa" w:w="3408"/>
            <w:vAlign w:val="center"/>
          </w:tcPr>
          <w:p>
            <w:r/>
            <w:r>
              <w:rPr>
                <w:b w:val="0"/>
                <w:sz w:val="17"/>
              </w:rPr>
              <w:t>% decisions with linked evidence and score breakdown</w:t>
            </w:r>
          </w:p>
        </w:tc>
        <w:tc>
          <w:tcPr>
            <w:tcW w:type="dxa" w:w="3408"/>
            <w:vAlign w:val="center"/>
          </w:tcPr>
          <w:p>
            <w:r/>
            <w:r>
              <w:rPr>
                <w:b w:val="0"/>
                <w:sz w:val="17"/>
              </w:rPr>
              <w:t>↑ toward 100%</w:t>
            </w:r>
          </w:p>
        </w:tc>
      </w:tr>
    </w:tbl>
    <w:p/>
    <w:p>
      <w:pPr>
        <w:pStyle w:val="Heading1"/>
      </w:pPr>
      <w:r>
        <w:t>6. Expected Outcome</w:t>
      </w:r>
    </w:p>
    <w:p>
      <w:r>
        <w:t>Release stakeholders receive one consistent, evidence-backed quality view automatically. n8n removes repetitive reporting effort, highlights the failures that matter most, and makes release gates repeatable without replacing engineering judgment.</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 xml:space="preserve">n8n Case Study | QA &amp; Automation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