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Week 7 – Activity 1: Confusion Matrix</w:t>
      </w:r>
    </w:p>
    <w:p>
      <w:pPr>
        <w:spacing w:after="60"/>
        <w:jc w:val="center"/>
      </w:pPr>
      <w:r>
        <w:rPr>
          <w:rFonts w:ascii="Times New Roman" w:cs="Times New Roman" w:eastAsia="Times New Roman" w:hAnsi="Times New Roman"/>
          <w:sz w:val="24"/>
          <w:szCs w:val="24"/>
        </w:rPr>
        <w:t xml:space="preserve">Healthcare Patient Classification Model</w:t>
      </w:r>
    </w:p>
    <w:p>
      <w:pPr>
        <w:spacing w:after="300"/>
        <w:jc w:val="center"/>
      </w:pPr>
      <w:r>
        <w:rPr>
          <w:rFonts w:ascii="Times New Roman" w:cs="Times New Roman" w:eastAsia="Times New Roman" w:hAnsi="Times New Roman"/>
          <w:sz w:val="22"/>
          <w:szCs w:val="22"/>
        </w:rPr>
        <w:t xml:space="preserve">Machine Learning – Binary Classification</w:t>
      </w:r>
    </w:p>
    <w:p>
      <w:pPr>
        <w:pBdr>
          <w:bottom w:val="single" w:color="000000" w:sz="6" w:space="1"/>
        </w:pBdr>
        <w:spacing w:after="280"/>
      </w:pPr>
    </w:p>
    <w:p>
      <w:pPr>
        <w:pStyle w:val="Heading2"/>
      </w:pPr>
      <w:r>
        <w:rPr>
          <w:rFonts w:ascii="Times New Roman" w:cs="Times New Roman" w:eastAsia="Times New Roman" w:hAnsi="Times New Roman"/>
          <w:b/>
          <w:bCs/>
          <w:sz w:val="26"/>
          <w:szCs w:val="26"/>
        </w:rPr>
        <w:t xml:space="preserve">1. Context</w:t>
      </w:r>
    </w:p>
    <w:p>
      <w:pPr>
        <w:spacing w:after="120"/>
      </w:pPr>
      <w:r>
        <w:rPr>
          <w:rFonts w:ascii="Times New Roman" w:cs="Times New Roman" w:eastAsia="Times New Roman" w:hAnsi="Times New Roman"/>
          <w:sz w:val="22"/>
          <w:szCs w:val="22"/>
        </w:rPr>
        <w:t xml:space="preserve">A binary classification model was developed to classify patients as Healthy or Sick based on medical test results and symptoms. The dataset consisted of 100 patient records collected from routine health screenings.</w:t>
      </w:r>
    </w:p>
    <w:p>
      <w:pPr>
        <w:spacing w:after="80"/>
      </w:pPr>
      <w:r>
        <w:rPr>
          <w:rFonts w:ascii="Times New Roman" w:cs="Times New Roman" w:eastAsia="Times New Roman" w:hAnsi="Times New Roman"/>
          <w:b/>
          <w:bCs/>
          <w:sz w:val="22"/>
          <w:szCs w:val="22"/>
        </w:rPr>
        <w:t xml:space="preserve">Dataset split:</w:t>
      </w:r>
    </w:p>
    <w:p>
      <w:pPr>
        <w:spacing w:after="60"/>
        <w:ind w:left="720"/>
      </w:pPr>
      <w:r>
        <w:rPr>
          <w:rFonts w:ascii="Times New Roman" w:cs="Times New Roman" w:eastAsia="Times New Roman" w:hAnsi="Times New Roman"/>
          <w:sz w:val="22"/>
          <w:szCs w:val="22"/>
        </w:rPr>
        <w:t xml:space="preserve">- Training set: 70 records</w:t>
      </w:r>
    </w:p>
    <w:p>
      <w:pPr>
        <w:spacing w:after="160"/>
        <w:ind w:left="720"/>
      </w:pPr>
      <w:r>
        <w:rPr>
          <w:rFonts w:ascii="Times New Roman" w:cs="Times New Roman" w:eastAsia="Times New Roman" w:hAnsi="Times New Roman"/>
          <w:sz w:val="22"/>
          <w:szCs w:val="22"/>
        </w:rPr>
        <w:t xml:space="preserve">- Test set: 30 records</w:t>
      </w:r>
    </w:p>
    <w:p>
      <w:pPr>
        <w:spacing w:after="80"/>
      </w:pPr>
      <w:r>
        <w:rPr>
          <w:rFonts w:ascii="Times New Roman" w:cs="Times New Roman" w:eastAsia="Times New Roman" w:hAnsi="Times New Roman"/>
          <w:b/>
          <w:bCs/>
          <w:sz w:val="22"/>
          <w:szCs w:val="22"/>
        </w:rPr>
        <w:t xml:space="preserve">Misclassifications observed during testing (3 total):</w:t>
      </w:r>
    </w:p>
    <w:p>
      <w:pPr>
        <w:spacing w:after="60"/>
        <w:ind w:left="720"/>
      </w:pPr>
      <w:r>
        <w:rPr>
          <w:rFonts w:ascii="Times New Roman" w:cs="Times New Roman" w:eastAsia="Times New Roman" w:hAnsi="Times New Roman"/>
          <w:sz w:val="22"/>
          <w:szCs w:val="22"/>
        </w:rPr>
        <w:t xml:space="preserve">- 2 sick patients were predicted as healthy  (False Negative)</w:t>
      </w:r>
    </w:p>
    <w:p>
      <w:pPr>
        <w:spacing w:after="280"/>
        <w:ind w:left="720"/>
      </w:pPr>
      <w:r>
        <w:rPr>
          <w:rFonts w:ascii="Times New Roman" w:cs="Times New Roman" w:eastAsia="Times New Roman" w:hAnsi="Times New Roman"/>
          <w:sz w:val="22"/>
          <w:szCs w:val="22"/>
        </w:rPr>
        <w:t xml:space="preserve">- 1 healthy patient was predicted as sick  (False Positive)</w:t>
      </w:r>
    </w:p>
    <w:p>
      <w:pPr>
        <w:pStyle w:val="Heading2"/>
      </w:pPr>
      <w:r>
        <w:rPr>
          <w:rFonts w:ascii="Times New Roman" w:cs="Times New Roman" w:eastAsia="Times New Roman" w:hAnsi="Times New Roman"/>
          <w:b/>
          <w:bCs/>
          <w:sz w:val="26"/>
          <w:szCs w:val="26"/>
        </w:rPr>
        <w:t xml:space="preserve">2. Confusion Matrix</w:t>
      </w:r>
    </w:p>
    <w:p>
      <w:pPr>
        <w:spacing w:after="160"/>
      </w:pPr>
      <w:r>
        <w:rPr>
          <w:rFonts w:ascii="Times New Roman" w:cs="Times New Roman" w:eastAsia="Times New Roman" w:hAnsi="Times New Roman"/>
          <w:sz w:val="22"/>
          <w:szCs w:val="22"/>
        </w:rPr>
        <w:t xml:space="preserve">The following confusion matrix summarises the model performance on the 30 unseen test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4"/>
              <w:left w:val="single" w:color="000000" w:sz="4"/>
              <w:bottom w:val="single" w:color="000000" w:sz="4"/>
              <w:right w:val="single" w:color="000000" w:sz="4"/>
            </w:tcBorders>
            <w:shd w:fill="FFFFFF" w:val="clear"/>
            <w:tcMar>
              <w:top w:type="dxa" w:w="100"/>
              <w:left w:type="dxa" w:w="140"/>
              <w:bottom w:type="dxa" w:w="100"/>
              <w:right w:type="dxa" w:w="140"/>
            </w:tcMar>
          </w:tcPr>
          <w:p/>
        </w:tc>
        <w:tc>
          <w:tcPr>
            <w:tcW w:type="dxa" w:w="7020"/>
            <w:gridSpan w:val="3"/>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000000"/>
                <w:sz w:val="24"/>
                <w:szCs w:val="24"/>
              </w:rPr>
              <w:t xml:space="preserve">Predicted Label</w:t>
            </w:r>
          </w:p>
        </w:tc>
      </w:tr>
      <w:tr>
        <w:tc>
          <w:tcPr>
            <w:tcW w:type="dxa" w:w="234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000000"/>
                <w:sz w:val="24"/>
                <w:szCs w:val="24"/>
              </w:rPr>
              <w:t xml:space="preserve">Actual Label</w:t>
            </w:r>
          </w:p>
        </w:tc>
        <w:tc>
          <w:tcPr>
            <w:tcW w:type="dxa" w:w="234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000000"/>
                <w:sz w:val="22"/>
                <w:szCs w:val="22"/>
              </w:rPr>
              <w:t xml:space="preserve">Predicted Healthy</w:t>
            </w:r>
          </w:p>
        </w:tc>
        <w:tc>
          <w:tcPr>
            <w:tcW w:type="dxa" w:w="234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000000"/>
                <w:sz w:val="22"/>
                <w:szCs w:val="22"/>
              </w:rPr>
              <w:t xml:space="preserve">Predicted Sick</w:t>
            </w:r>
          </w:p>
        </w:tc>
        <w:tc>
          <w:tcPr>
            <w:tcW w:type="dxa" w:w="234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000000"/>
                <w:sz w:val="22"/>
                <w:szCs w:val="22"/>
              </w:rPr>
              <w:t xml:space="preserve">Row Total</w:t>
            </w:r>
          </w:p>
        </w:tc>
      </w:tr>
      <w:tr>
        <w:tc>
          <w:tcPr>
            <w:tcW w:type="dxa" w:w="234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000000"/>
                <w:sz w:val="22"/>
                <w:szCs w:val="22"/>
              </w:rPr>
              <w:t xml:space="preserve">Actual Healthy</w:t>
            </w:r>
          </w:p>
        </w:tc>
        <w:tc>
          <w:tcPr>
            <w:tcW w:type="dxa" w:w="2340"/>
            <w:tcBorders>
              <w:top w:val="single" w:color="000000" w:sz="4"/>
              <w:left w:val="single" w:color="000000" w:sz="4"/>
              <w:bottom w:val="single" w:color="000000" w:sz="4"/>
              <w:right w:val="single" w:color="000000" w:sz="4"/>
            </w:tcBorders>
            <w:shd w:fill="FFFFFF" w:val="clear"/>
            <w:tcMar>
              <w:top w:type="dxa" w:w="120"/>
              <w:left w:type="dxa" w:w="140"/>
              <w:bottom w:type="dxa" w:w="120"/>
              <w:right w:type="dxa" w:w="140"/>
            </w:tcMar>
            <w:vAlign w:val="center"/>
          </w:tcPr>
          <w:p>
            <w:pPr>
              <w:spacing w:after="60"/>
              <w:jc w:val="center"/>
            </w:pPr>
            <w:r>
              <w:rPr>
                <w:rFonts w:ascii="Times New Roman" w:cs="Times New Roman" w:eastAsia="Times New Roman" w:hAnsi="Times New Roman"/>
                <w:b/>
                <w:bCs/>
                <w:color w:val="000000"/>
                <w:sz w:val="40"/>
                <w:szCs w:val="40"/>
              </w:rPr>
              <w:t xml:space="preserve">16</w:t>
            </w:r>
          </w:p>
          <w:p>
            <w:pPr>
              <w:spacing w:after="60"/>
              <w:jc w:val="center"/>
            </w:pPr>
            <w:r>
              <w:rPr>
                <w:rFonts w:ascii="Times New Roman" w:cs="Times New Roman" w:eastAsia="Times New Roman" w:hAnsi="Times New Roman"/>
                <w:b/>
                <w:bCs/>
                <w:color w:val="000000"/>
                <w:sz w:val="18"/>
                <w:szCs w:val="18"/>
              </w:rPr>
              <w:t xml:space="preserve">True Negative (TN)</w:t>
            </w:r>
          </w:p>
          <w:p>
            <w:pPr>
              <w:spacing w:after="0"/>
              <w:jc w:val="center"/>
            </w:pPr>
            <w:r>
              <w:rPr>
                <w:rFonts w:ascii="Times New Roman" w:cs="Times New Roman" w:eastAsia="Times New Roman" w:hAnsi="Times New Roman"/>
                <w:b w:val="false"/>
                <w:bCs w:val="false"/>
                <w:color w:val="000000"/>
                <w:sz w:val="18"/>
                <w:szCs w:val="18"/>
              </w:rPr>
              <w:t xml:space="preserve">Correctly predicted healthy</w:t>
            </w:r>
          </w:p>
        </w:tc>
        <w:tc>
          <w:tcPr>
            <w:tcW w:type="dxa" w:w="2340"/>
            <w:tcBorders>
              <w:top w:val="single" w:color="000000" w:sz="4"/>
              <w:left w:val="single" w:color="000000" w:sz="4"/>
              <w:bottom w:val="single" w:color="000000" w:sz="4"/>
              <w:right w:val="single" w:color="000000" w:sz="4"/>
            </w:tcBorders>
            <w:shd w:fill="F2F2F2" w:val="clear"/>
            <w:tcMar>
              <w:top w:type="dxa" w:w="120"/>
              <w:left w:type="dxa" w:w="140"/>
              <w:bottom w:type="dxa" w:w="120"/>
              <w:right w:type="dxa" w:w="140"/>
            </w:tcMar>
            <w:vAlign w:val="center"/>
          </w:tcPr>
          <w:p>
            <w:pPr>
              <w:spacing w:after="60"/>
              <w:jc w:val="center"/>
            </w:pPr>
            <w:r>
              <w:rPr>
                <w:rFonts w:ascii="Times New Roman" w:cs="Times New Roman" w:eastAsia="Times New Roman" w:hAnsi="Times New Roman"/>
                <w:b/>
                <w:bCs/>
                <w:color w:val="000000"/>
                <w:sz w:val="40"/>
                <w:szCs w:val="40"/>
              </w:rPr>
              <w:t xml:space="preserve">1</w:t>
            </w:r>
          </w:p>
          <w:p>
            <w:pPr>
              <w:spacing w:after="60"/>
              <w:jc w:val="center"/>
            </w:pPr>
            <w:r>
              <w:rPr>
                <w:rFonts w:ascii="Times New Roman" w:cs="Times New Roman" w:eastAsia="Times New Roman" w:hAnsi="Times New Roman"/>
                <w:b/>
                <w:bCs/>
                <w:color w:val="000000"/>
                <w:sz w:val="18"/>
                <w:szCs w:val="18"/>
              </w:rPr>
              <w:t xml:space="preserve">False Positive (FP)</w:t>
            </w:r>
          </w:p>
          <w:p>
            <w:pPr>
              <w:spacing w:after="0"/>
              <w:jc w:val="center"/>
            </w:pPr>
            <w:r>
              <w:rPr>
                <w:rFonts w:ascii="Times New Roman" w:cs="Times New Roman" w:eastAsia="Times New Roman" w:hAnsi="Times New Roman"/>
                <w:b w:val="false"/>
                <w:bCs w:val="false"/>
                <w:color w:val="000000"/>
                <w:sz w:val="18"/>
                <w:szCs w:val="18"/>
              </w:rPr>
              <w:t xml:space="preserve">Healthy predicted as sick</w:t>
            </w:r>
          </w:p>
        </w:tc>
        <w:tc>
          <w:tcPr>
            <w:tcW w:type="dxa" w:w="2340"/>
            <w:tcBorders>
              <w:top w:val="single" w:color="000000" w:sz="4"/>
              <w:left w:val="single" w:color="000000" w:sz="4"/>
              <w:bottom w:val="single" w:color="000000" w:sz="4"/>
              <w:right w:val="single" w:color="000000"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000000"/>
                <w:sz w:val="36"/>
                <w:szCs w:val="36"/>
              </w:rPr>
              <w:t xml:space="preserve">17</w:t>
            </w:r>
          </w:p>
        </w:tc>
      </w:tr>
      <w:tr>
        <w:tc>
          <w:tcPr>
            <w:tcW w:type="dxa" w:w="234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000000"/>
                <w:sz w:val="22"/>
                <w:szCs w:val="22"/>
              </w:rPr>
              <w:t xml:space="preserve">Actual Sick</w:t>
            </w:r>
          </w:p>
        </w:tc>
        <w:tc>
          <w:tcPr>
            <w:tcW w:type="dxa" w:w="2340"/>
            <w:tcBorders>
              <w:top w:val="single" w:color="000000" w:sz="4"/>
              <w:left w:val="single" w:color="000000" w:sz="4"/>
              <w:bottom w:val="single" w:color="000000" w:sz="4"/>
              <w:right w:val="single" w:color="000000" w:sz="4"/>
            </w:tcBorders>
            <w:shd w:fill="F2F2F2" w:val="clear"/>
            <w:tcMar>
              <w:top w:type="dxa" w:w="120"/>
              <w:left w:type="dxa" w:w="140"/>
              <w:bottom w:type="dxa" w:w="120"/>
              <w:right w:type="dxa" w:w="140"/>
            </w:tcMar>
            <w:vAlign w:val="center"/>
          </w:tcPr>
          <w:p>
            <w:pPr>
              <w:spacing w:after="60"/>
              <w:jc w:val="center"/>
            </w:pPr>
            <w:r>
              <w:rPr>
                <w:rFonts w:ascii="Times New Roman" w:cs="Times New Roman" w:eastAsia="Times New Roman" w:hAnsi="Times New Roman"/>
                <w:b/>
                <w:bCs/>
                <w:color w:val="000000"/>
                <w:sz w:val="40"/>
                <w:szCs w:val="40"/>
              </w:rPr>
              <w:t xml:space="preserve">2</w:t>
            </w:r>
          </w:p>
          <w:p>
            <w:pPr>
              <w:spacing w:after="60"/>
              <w:jc w:val="center"/>
            </w:pPr>
            <w:r>
              <w:rPr>
                <w:rFonts w:ascii="Times New Roman" w:cs="Times New Roman" w:eastAsia="Times New Roman" w:hAnsi="Times New Roman"/>
                <w:b/>
                <w:bCs/>
                <w:color w:val="000000"/>
                <w:sz w:val="18"/>
                <w:szCs w:val="18"/>
              </w:rPr>
              <w:t xml:space="preserve">False Negative (FN)</w:t>
            </w:r>
          </w:p>
          <w:p>
            <w:pPr>
              <w:spacing w:after="0"/>
              <w:jc w:val="center"/>
            </w:pPr>
            <w:r>
              <w:rPr>
                <w:rFonts w:ascii="Times New Roman" w:cs="Times New Roman" w:eastAsia="Times New Roman" w:hAnsi="Times New Roman"/>
                <w:b w:val="false"/>
                <w:bCs w:val="false"/>
                <w:color w:val="000000"/>
                <w:sz w:val="18"/>
                <w:szCs w:val="18"/>
              </w:rPr>
              <w:t xml:space="preserve">Sick predicted as healthy</w:t>
            </w:r>
          </w:p>
        </w:tc>
        <w:tc>
          <w:tcPr>
            <w:tcW w:type="dxa" w:w="2340"/>
            <w:tcBorders>
              <w:top w:val="single" w:color="000000" w:sz="4"/>
              <w:left w:val="single" w:color="000000" w:sz="4"/>
              <w:bottom w:val="single" w:color="000000" w:sz="4"/>
              <w:right w:val="single" w:color="000000" w:sz="4"/>
            </w:tcBorders>
            <w:shd w:fill="FFFFFF" w:val="clear"/>
            <w:tcMar>
              <w:top w:type="dxa" w:w="120"/>
              <w:left w:type="dxa" w:w="140"/>
              <w:bottom w:type="dxa" w:w="120"/>
              <w:right w:type="dxa" w:w="140"/>
            </w:tcMar>
            <w:vAlign w:val="center"/>
          </w:tcPr>
          <w:p>
            <w:pPr>
              <w:spacing w:after="60"/>
              <w:jc w:val="center"/>
            </w:pPr>
            <w:r>
              <w:rPr>
                <w:rFonts w:ascii="Times New Roman" w:cs="Times New Roman" w:eastAsia="Times New Roman" w:hAnsi="Times New Roman"/>
                <w:b/>
                <w:bCs/>
                <w:color w:val="000000"/>
                <w:sz w:val="40"/>
                <w:szCs w:val="40"/>
              </w:rPr>
              <w:t xml:space="preserve">11</w:t>
            </w:r>
          </w:p>
          <w:p>
            <w:pPr>
              <w:spacing w:after="60"/>
              <w:jc w:val="center"/>
            </w:pPr>
            <w:r>
              <w:rPr>
                <w:rFonts w:ascii="Times New Roman" w:cs="Times New Roman" w:eastAsia="Times New Roman" w:hAnsi="Times New Roman"/>
                <w:b/>
                <w:bCs/>
                <w:color w:val="000000"/>
                <w:sz w:val="18"/>
                <w:szCs w:val="18"/>
              </w:rPr>
              <w:t xml:space="preserve">True Positive (TP)</w:t>
            </w:r>
          </w:p>
          <w:p>
            <w:pPr>
              <w:spacing w:after="0"/>
              <w:jc w:val="center"/>
            </w:pPr>
            <w:r>
              <w:rPr>
                <w:rFonts w:ascii="Times New Roman" w:cs="Times New Roman" w:eastAsia="Times New Roman" w:hAnsi="Times New Roman"/>
                <w:b w:val="false"/>
                <w:bCs w:val="false"/>
                <w:color w:val="000000"/>
                <w:sz w:val="18"/>
                <w:szCs w:val="18"/>
              </w:rPr>
              <w:t xml:space="preserve">Correctly predicted sick</w:t>
            </w:r>
          </w:p>
        </w:tc>
        <w:tc>
          <w:tcPr>
            <w:tcW w:type="dxa" w:w="2340"/>
            <w:tcBorders>
              <w:top w:val="single" w:color="000000" w:sz="4"/>
              <w:left w:val="single" w:color="000000" w:sz="4"/>
              <w:bottom w:val="single" w:color="000000" w:sz="4"/>
              <w:right w:val="single" w:color="000000"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000000"/>
                <w:sz w:val="36"/>
                <w:szCs w:val="36"/>
              </w:rPr>
              <w:t xml:space="preserve">13</w:t>
            </w:r>
          </w:p>
        </w:tc>
      </w:tr>
      <w:tr>
        <w:tc>
          <w:tcPr>
            <w:tcW w:type="dxa" w:w="234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000000"/>
                <w:sz w:val="22"/>
                <w:szCs w:val="22"/>
              </w:rPr>
              <w:t xml:space="preserve">Column Total</w:t>
            </w:r>
          </w:p>
        </w:tc>
        <w:tc>
          <w:tcPr>
            <w:tcW w:type="dxa" w:w="2340"/>
            <w:tcBorders>
              <w:top w:val="single" w:color="000000" w:sz="4"/>
              <w:left w:val="single" w:color="000000" w:sz="4"/>
              <w:bottom w:val="single" w:color="000000" w:sz="4"/>
              <w:right w:val="single" w:color="000000"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000000"/>
                <w:sz w:val="36"/>
                <w:szCs w:val="36"/>
              </w:rPr>
              <w:t xml:space="preserve">18</w:t>
            </w:r>
          </w:p>
        </w:tc>
        <w:tc>
          <w:tcPr>
            <w:tcW w:type="dxa" w:w="2340"/>
            <w:tcBorders>
              <w:top w:val="single" w:color="000000" w:sz="4"/>
              <w:left w:val="single" w:color="000000" w:sz="4"/>
              <w:bottom w:val="single" w:color="000000" w:sz="4"/>
              <w:right w:val="single" w:color="000000"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000000"/>
                <w:sz w:val="36"/>
                <w:szCs w:val="36"/>
              </w:rPr>
              <w:t xml:space="preserve">12</w:t>
            </w:r>
          </w:p>
        </w:tc>
        <w:tc>
          <w:tcPr>
            <w:tcW w:type="dxa" w:w="234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000000"/>
                <w:sz w:val="36"/>
                <w:szCs w:val="36"/>
              </w:rPr>
              <w:t xml:space="preserve">30</w:t>
            </w:r>
          </w:p>
        </w:tc>
      </w:tr>
    </w:tbl>
    <w:p>
      <w:pPr>
        <w:spacing w:after="280"/>
      </w:pPr>
    </w:p>
    <w:p>
      <w:pPr>
        <w:pStyle w:val="Heading2"/>
      </w:pPr>
      <w:r>
        <w:rPr>
          <w:rFonts w:ascii="Times New Roman" w:cs="Times New Roman" w:eastAsia="Times New Roman" w:hAnsi="Times New Roman"/>
          <w:b/>
          <w:bCs/>
          <w:sz w:val="26"/>
          <w:szCs w:val="26"/>
        </w:rPr>
        <w:t xml:space="preserve">3. Performance Metrics</w:t>
      </w:r>
    </w:p>
    <w:p>
      <w:pPr>
        <w:spacing w:after="160"/>
      </w:pPr>
      <w:r>
        <w:rPr>
          <w:rFonts w:ascii="Times New Roman" w:cs="Times New Roman" w:eastAsia="Times New Roman" w:hAnsi="Times New Roman"/>
          <w:sz w:val="22"/>
          <w:szCs w:val="22"/>
        </w:rPr>
        <w:t xml:space="preserve">The following metrics were derived from the confusion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000000"/>
                <w:sz w:val="22"/>
                <w:szCs w:val="22"/>
              </w:rPr>
              <w:t xml:space="preserve">Metric</w:t>
            </w:r>
          </w:p>
        </w:tc>
        <w:tc>
          <w:tcPr>
            <w:tcW w:type="dxa" w:w="234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000000"/>
                <w:sz w:val="22"/>
                <w:szCs w:val="22"/>
              </w:rPr>
              <w:t xml:space="preserve">Formula</w:t>
            </w:r>
          </w:p>
        </w:tc>
        <w:tc>
          <w:tcPr>
            <w:tcW w:type="dxa" w:w="234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000000"/>
                <w:sz w:val="22"/>
                <w:szCs w:val="22"/>
              </w:rPr>
              <w:t xml:space="preserve">Calculation</w:t>
            </w:r>
          </w:p>
        </w:tc>
        <w:tc>
          <w:tcPr>
            <w:tcW w:type="dxa" w:w="234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000000"/>
                <w:sz w:val="22"/>
                <w:szCs w:val="22"/>
              </w:rPr>
              <w:t xml:space="preserve">Result</w:t>
            </w:r>
          </w:p>
        </w:tc>
      </w:tr>
      <w:tr>
        <w:tc>
          <w:tcPr>
            <w:tcW w:type="dxa" w:w="2340"/>
            <w:tcBorders>
              <w:top w:val="single" w:color="000000" w:sz="4"/>
              <w:left w:val="single" w:color="000000" w:sz="4"/>
              <w:bottom w:val="single" w:color="000000" w:sz="4"/>
              <w:right w:val="single" w:color="000000"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000000"/>
                <w:sz w:val="22"/>
                <w:szCs w:val="22"/>
              </w:rPr>
              <w:t xml:space="preserve">Accuracy</w:t>
            </w:r>
          </w:p>
        </w:tc>
        <w:tc>
          <w:tcPr>
            <w:tcW w:type="dxa" w:w="2340"/>
            <w:tcBorders>
              <w:top w:val="single" w:color="000000" w:sz="4"/>
              <w:left w:val="single" w:color="000000" w:sz="4"/>
              <w:bottom w:val="single" w:color="000000" w:sz="4"/>
              <w:right w:val="single" w:color="000000"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(TP + TN) / Total</w:t>
            </w:r>
          </w:p>
        </w:tc>
        <w:tc>
          <w:tcPr>
            <w:tcW w:type="dxa" w:w="2340"/>
            <w:tcBorders>
              <w:top w:val="single" w:color="000000" w:sz="4"/>
              <w:left w:val="single" w:color="000000" w:sz="4"/>
              <w:bottom w:val="single" w:color="000000" w:sz="4"/>
              <w:right w:val="single" w:color="000000"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(11 + 16) / 30 = 27/30</w:t>
            </w:r>
          </w:p>
        </w:tc>
        <w:tc>
          <w:tcPr>
            <w:tcW w:type="dxa" w:w="2340"/>
            <w:tcBorders>
              <w:top w:val="single" w:color="000000" w:sz="4"/>
              <w:left w:val="single" w:color="000000" w:sz="4"/>
              <w:bottom w:val="single" w:color="000000" w:sz="4"/>
              <w:right w:val="single" w:color="000000"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000000"/>
                <w:sz w:val="22"/>
                <w:szCs w:val="22"/>
              </w:rPr>
              <w:t xml:space="preserve">90.0%</w:t>
            </w:r>
          </w:p>
        </w:tc>
      </w:tr>
      <w:tr>
        <w:tc>
          <w:tcPr>
            <w:tcW w:type="dxa" w:w="234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000000"/>
                <w:sz w:val="22"/>
                <w:szCs w:val="22"/>
              </w:rPr>
              <w:t xml:space="preserve">Sensitivity (Recall)</w:t>
            </w:r>
          </w:p>
        </w:tc>
        <w:tc>
          <w:tcPr>
            <w:tcW w:type="dxa" w:w="234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TP / (TP + FN)</w:t>
            </w:r>
          </w:p>
        </w:tc>
        <w:tc>
          <w:tcPr>
            <w:tcW w:type="dxa" w:w="234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11 / (11 + 2) = 11/13</w:t>
            </w:r>
          </w:p>
        </w:tc>
        <w:tc>
          <w:tcPr>
            <w:tcW w:type="dxa" w:w="234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000000"/>
                <w:sz w:val="22"/>
                <w:szCs w:val="22"/>
              </w:rPr>
              <w:t xml:space="preserve">84.6%</w:t>
            </w:r>
          </w:p>
        </w:tc>
      </w:tr>
      <w:tr>
        <w:tc>
          <w:tcPr>
            <w:tcW w:type="dxa" w:w="2340"/>
            <w:tcBorders>
              <w:top w:val="single" w:color="000000" w:sz="4"/>
              <w:left w:val="single" w:color="000000" w:sz="4"/>
              <w:bottom w:val="single" w:color="000000" w:sz="4"/>
              <w:right w:val="single" w:color="000000"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000000"/>
                <w:sz w:val="22"/>
                <w:szCs w:val="22"/>
              </w:rPr>
              <w:t xml:space="preserve">Specificity</w:t>
            </w:r>
          </w:p>
        </w:tc>
        <w:tc>
          <w:tcPr>
            <w:tcW w:type="dxa" w:w="2340"/>
            <w:tcBorders>
              <w:top w:val="single" w:color="000000" w:sz="4"/>
              <w:left w:val="single" w:color="000000" w:sz="4"/>
              <w:bottom w:val="single" w:color="000000" w:sz="4"/>
              <w:right w:val="single" w:color="000000"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TN / (TN + FP)</w:t>
            </w:r>
          </w:p>
        </w:tc>
        <w:tc>
          <w:tcPr>
            <w:tcW w:type="dxa" w:w="2340"/>
            <w:tcBorders>
              <w:top w:val="single" w:color="000000" w:sz="4"/>
              <w:left w:val="single" w:color="000000" w:sz="4"/>
              <w:bottom w:val="single" w:color="000000" w:sz="4"/>
              <w:right w:val="single" w:color="000000"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16 / (16 + 1) = 16/17</w:t>
            </w:r>
          </w:p>
        </w:tc>
        <w:tc>
          <w:tcPr>
            <w:tcW w:type="dxa" w:w="2340"/>
            <w:tcBorders>
              <w:top w:val="single" w:color="000000" w:sz="4"/>
              <w:left w:val="single" w:color="000000" w:sz="4"/>
              <w:bottom w:val="single" w:color="000000" w:sz="4"/>
              <w:right w:val="single" w:color="000000"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000000"/>
                <w:sz w:val="22"/>
                <w:szCs w:val="22"/>
              </w:rPr>
              <w:t xml:space="preserve">94.1%</w:t>
            </w:r>
          </w:p>
        </w:tc>
      </w:tr>
      <w:tr>
        <w:tc>
          <w:tcPr>
            <w:tcW w:type="dxa" w:w="234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000000"/>
                <w:sz w:val="22"/>
                <w:szCs w:val="22"/>
              </w:rPr>
              <w:t xml:space="preserve">Precision</w:t>
            </w:r>
          </w:p>
        </w:tc>
        <w:tc>
          <w:tcPr>
            <w:tcW w:type="dxa" w:w="234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TP / (TP + FP)</w:t>
            </w:r>
          </w:p>
        </w:tc>
        <w:tc>
          <w:tcPr>
            <w:tcW w:type="dxa" w:w="234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11 / (11 + 1) = 11/12</w:t>
            </w:r>
          </w:p>
        </w:tc>
        <w:tc>
          <w:tcPr>
            <w:tcW w:type="dxa" w:w="234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000000"/>
                <w:sz w:val="22"/>
                <w:szCs w:val="22"/>
              </w:rPr>
              <w:t xml:space="preserve">91.7%</w:t>
            </w:r>
          </w:p>
        </w:tc>
      </w:tr>
    </w:tbl>
    <w:p>
      <w:pPr>
        <w:spacing w:after="280"/>
      </w:pPr>
    </w:p>
    <w:p>
      <w:pPr>
        <w:pStyle w:val="Heading2"/>
      </w:pPr>
      <w:r>
        <w:rPr>
          <w:rFonts w:ascii="Times New Roman" w:cs="Times New Roman" w:eastAsia="Times New Roman" w:hAnsi="Times New Roman"/>
          <w:b/>
          <w:bCs/>
          <w:sz w:val="26"/>
          <w:szCs w:val="26"/>
        </w:rPr>
        <w:t xml:space="preserve">4. Interpretation</w:t>
      </w:r>
    </w:p>
    <w:p>
      <w:pPr>
        <w:spacing w:after="120"/>
      </w:pPr>
      <w:r>
        <w:rPr>
          <w:rFonts w:ascii="Times New Roman" w:cs="Times New Roman" w:eastAsia="Times New Roman" w:hAnsi="Times New Roman"/>
          <w:sz w:val="22"/>
          <w:szCs w:val="22"/>
        </w:rPr>
        <w:t xml:space="preserve">The model achieved an overall accuracy of 90%, correctly classifying 27 out of 30 test patients. The specificity of 94.1% indicates strong performance in identifying healthy patients. However, the sensitivity of 84.6% reveals that two sick patients were incorrectly predicted as healthy.</w:t>
      </w:r>
    </w:p>
    <w:p>
      <w:pPr>
        <w:spacing w:after="120"/>
      </w:pPr>
      <w:r>
        <w:rPr>
          <w:rFonts w:ascii="Times New Roman" w:cs="Times New Roman" w:eastAsia="Times New Roman" w:hAnsi="Times New Roman"/>
          <w:sz w:val="22"/>
          <w:szCs w:val="22"/>
        </w:rPr>
        <w:t xml:space="preserve">In a clinical setting, False Negatives carry greater risk than False Positives, as a missed diagnosis can delay necessary treatment. Sensitivity should therefore be prioritised as the primary evaluation metric in future model iterations. Adjusting the classification threshold to favour recall would help reduce the number of missed sick patients.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2026-05-23T23:43:08.561Z</dcterms:created>
  <dcterms:modified xsi:type="dcterms:W3CDTF">2026-05-23T23:43:08.561Z</dcterms:modified>
</cp:coreProperties>
</file>

<file path=docProps/custom.xml><?xml version="1.0" encoding="utf-8"?>
<Properties xmlns="http://schemas.openxmlformats.org/officeDocument/2006/custom-properties" xmlns:vt="http://schemas.openxmlformats.org/officeDocument/2006/docPropsVTypes"/>
</file>