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XX 市人民政府办公室关于进一步优化营商环境工作的通知**- 各区、县人民政府，市政府各部门、各直属机构：**为深入贯彻落实党中央、国务院关于深化“放管服”改革优化营商环境的决策部署，按照省委、省政府工作要求，进一步激发市场主体活力，推动我市经济高质量发展，经市政府同意，现就进一步优化营商环境有关事项通知如下：</w:t>
      </w:r>
    </w:p>
    <w:p/>
    <w:p>
      <w:r>
        <w:t>- 一、总体要求**坚持以新时代中国特色社会主义思想为指导，全面贯彻党的二十大精神，坚持市场化、法治化、国际化原则，以市场主体需求为导向，以政府职能转变为核心。通过深化行政审批制度改革、加强事中事后监管、提升政务服务效能，力争在 [具体年份] 年底前，我市营商环境主要指标达到全省前列，市场主体满意度显著提升。</w:t>
      </w:r>
    </w:p>
    <w:p/>
    <w:p>
      <w:r>
        <w:t>- 二、重点任务**- （一）深化行政审批制度改革，提升办事效率**- 推进“一网通办”。** 依托市政务服务网，扩大全程网办事项范围。除涉及国家安全、商业秘密等特殊事项外，政务服务事项网上可办率不低于 95%。- 压缩办理时限。** 对企业开办、施工许可、财产登记等高频事项，进一步精简材料、压缩时限。企业开办时间压缩至 [X] 个工作日以内，一般社会投资项目审批时间压缩至 [X] 个工作日以内。- 推行“证照分离”。** 全面落实涉企经营许可事项清单管理，推行告知承诺制，解决“准入不准营”问题。- （二）维护公平竞争秩序，降低市场门槛**- 清理隐性壁垒。** 全面清理妨碍统一市场和公平竞争的各种规定和做法，严禁在政府采购、招标投标等领域设置不合理条件限制民营企业。- 规范涉企收费。** 严格执行行政事业性收费清单制度，动态更新并向社会公开。严禁强制企业接受指定中介服务或变相收费。- 加强信用监管。** 建立健全以信用为基础的新型监管机制，推行“双随机、一公开”监管，实现“进一次门、查多项事”，减少对企业正常生产经营的干扰。- （三）强化要素保障，降低运营成本**- 优化融资服务。** 搭建银企对接平台，鼓励金融机构创新信贷产品，降低中小微企业融资成本。- 保障用地用能。** 对重点产业项目实行用地指标优先保障，优化水电气暖报装流程，降低企业用能成本。- 落实惠企政策。** 建立惠企政策“免申即享”机制，利用大数据精准推送政策，确保减税降费等政策红利直达快享。- （四）完善服务体系，构建亲清政商关系**- 建立企业联络员制度。** 为重点企业配备服务专员，实行“一对一”帮扶，及时协调解决企业困难。- 畅通诉求渠道。** 依托 12345 政务服务便民热线，设立营商环境专席，建立企业诉求“接诉即办”快速响应机制。- 加强法治保障。** 依法保护企业家合法权益，审慎适用查封、扣押、冻结等强制措施，严禁趋利性执法。- 三、工作要求**- （一）加强组织领导。** 各单位要高度重视营商环境工作，主要负责同志要亲自抓，分管负责同志具体抓。市营商环境建设局要发挥牵头抓总作用，统筹协调各项工作落实。- （二）压实工作责任。** 各单位要根据本通知要求，制定具体实施方案，明确时间表、路线图和责任人。相关任务完成情况将纳入年度目标责任考核。- （三）强化督查问责。** 市政府督查室将联合市营商环境建设局开展专项督查，对工作推进不力、推诿扯皮、损害企业利益的单位和个人，将严肃追责问责。- （四）注重宣传引导。** 充分利用各类媒体，宣传优化营商环境的政策措施和典型案例，及时回应社会关切，营造全社会关心、支持、参与营商环境建设的良好氛围。本通知自印发之日起施行。</w:t>
      </w:r>
    </w:p>
    <w:p/>
    <w:p>
      <w:r>
        <w:t>- XX 市人民政府办公室**- X 年 X 月 X 日**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