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40"/>
      </w:pPr>
      <w:r>
        <w:rPr>
          <w:color w:val="0B7A75"/>
          <w:sz w:val="20"/>
          <w:szCs w:val="20"/>
        </w:rPr>
        <w:t xml:space="preserve">US Healthcare Payment Integrity</w:t>
      </w:r>
    </w:p>
    <w:p>
      <w:pPr>
        <w:spacing w:before="0" w:after="80"/>
      </w:pPr>
      <w:r>
        <w:rPr>
          <w:rFonts w:ascii="Georgia" w:cs="Georgia" w:eastAsia="Georgia" w:hAnsi="Georgia"/>
          <w:b/>
          <w:bCs/>
          <w:color w:val="0D2B55"/>
          <w:sz w:val="48"/>
          <w:szCs w:val="48"/>
        </w:rPr>
        <w:t xml:space="preserve">Medicare Inpatient Payment Analysis</w:t>
      </w:r>
    </w:p>
    <w:p>
      <w:pPr>
        <w:spacing w:after="160"/>
      </w:pPr>
      <w:r>
        <w:rPr>
          <w:b/>
          <w:bCs/>
          <w:color w:val="6B7A8D"/>
          <w:sz w:val="20"/>
          <w:szCs w:val="20"/>
        </w:rPr>
        <w:t xml:space="preserve">Datasets: </w:t>
      </w:r>
      <w:r>
        <w:rPr>
          <w:color w:val="6B7A8D"/>
          <w:sz w:val="20"/>
          <w:szCs w:val="20"/>
        </w:rPr>
        <w:t xml:space="preserve">CMS IPPS 2017 &amp; 2018  •  DRG Reference Table V  •  Hospital General Information</w:t>
      </w:r>
    </w:p>
    <w:p>
      <w:pPr>
        <w:pBdr>
          <w:bottom w:val="single" w:color="0B7A75" w:sz="8"/>
        </w:pBdr>
        <w:spacing w:after="0" w:before="0"/>
      </w:pPr>
    </w:p>
    <w:p>
      <w:pPr>
        <w:spacing w:before="160" w:after="8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gridCol w:w="100"/>
      </w:tblGrid>
      <w:tr>
        <w:tc>
          <w:tcPr>
            <w:shd w:color="0D2B55" w:val="solid"/>
            <w:tcMar>
              <w:top w:type="dxa" w:w="120"/>
              <w:left w:type="dxa" w:w="80"/>
              <w:bottom w:type="dxa" w:w="120"/>
              <w:right w:type="dxa" w:w="80"/>
            </w:tcMar>
          </w:tcPr>
          <w:p>
            <w:pPr>
              <w:jc w:val="center"/>
            </w:pPr>
            <w:r>
              <w:rPr>
                <w:rFonts w:ascii="Georgia" w:cs="Georgia" w:eastAsia="Georgia" w:hAnsi="Georgia"/>
                <w:b/>
                <w:bCs/>
                <w:color w:val="FFFFFF"/>
                <w:sz w:val="36"/>
                <w:szCs w:val="36"/>
              </w:rPr>
              <w:t xml:space="preserve">3,058</w:t>
            </w:r>
          </w:p>
          <w:p>
            <w:pPr>
              <w:spacing w:after="80"/>
              <w:jc w:val="center"/>
            </w:pPr>
            <w:r>
              <w:rPr>
                <w:color w:val="FFFFFF"/>
                <w:sz w:val="16"/>
                <w:szCs w:val="16"/>
              </w:rPr>
              <w:t xml:space="preserve">Hospitals Analysed</w:t>
            </w:r>
          </w:p>
        </w:tc>
        <w:tc>
          <w:tcPr>
            <w:shd w:color="0B7A75" w:val="solid"/>
            <w:tcMar>
              <w:top w:type="dxa" w:w="120"/>
              <w:left w:type="dxa" w:w="80"/>
              <w:bottom w:type="dxa" w:w="120"/>
              <w:right w:type="dxa" w:w="80"/>
            </w:tcMar>
          </w:tcPr>
          <w:p>
            <w:pPr>
              <w:jc w:val="center"/>
            </w:pPr>
            <w:r>
              <w:rPr>
                <w:rFonts w:ascii="Georgia" w:cs="Georgia" w:eastAsia="Georgia" w:hAnsi="Georgia"/>
                <w:b/>
                <w:bCs/>
                <w:color w:val="FFFFFF"/>
                <w:sz w:val="36"/>
                <w:szCs w:val="36"/>
              </w:rPr>
              <w:t xml:space="preserve">14.6M</w:t>
            </w:r>
          </w:p>
          <w:p>
            <w:pPr>
              <w:spacing w:after="80"/>
              <w:jc w:val="center"/>
            </w:pPr>
            <w:r>
              <w:rPr>
                <w:color w:val="FFFFFF"/>
                <w:sz w:val="16"/>
                <w:szCs w:val="16"/>
              </w:rPr>
              <w:t xml:space="preserve">Total Discharges</w:t>
            </w:r>
          </w:p>
        </w:tc>
        <w:tc>
          <w:tcPr>
            <w:shd w:color="B45309" w:val="solid"/>
            <w:tcMar>
              <w:top w:type="dxa" w:w="120"/>
              <w:left w:type="dxa" w:w="80"/>
              <w:bottom w:type="dxa" w:w="120"/>
              <w:right w:type="dxa" w:w="80"/>
            </w:tcMar>
          </w:tcPr>
          <w:p>
            <w:pPr>
              <w:jc w:val="center"/>
            </w:pPr>
            <w:r>
              <w:rPr>
                <w:rFonts w:ascii="Georgia" w:cs="Georgia" w:eastAsia="Georgia" w:hAnsi="Georgia"/>
                <w:b/>
                <w:bCs/>
                <w:color w:val="FFFFFF"/>
                <w:sz w:val="36"/>
                <w:szCs w:val="36"/>
              </w:rPr>
              <w:t xml:space="preserve">4.423×</w:t>
            </w:r>
          </w:p>
          <w:p>
            <w:pPr>
              <w:spacing w:after="80"/>
              <w:jc w:val="center"/>
            </w:pPr>
            <w:r>
              <w:rPr>
                <w:color w:val="FFFFFF"/>
                <w:sz w:val="16"/>
                <w:szCs w:val="16"/>
              </w:rPr>
              <w:t xml:space="preserve">Median Charge Ratio</w:t>
            </w:r>
          </w:p>
        </w:tc>
        <w:tc>
          <w:tcPr>
            <w:shd w:color="991B1B" w:val="solid"/>
            <w:tcMar>
              <w:top w:type="dxa" w:w="120"/>
              <w:left w:type="dxa" w:w="80"/>
              <w:bottom w:type="dxa" w:w="120"/>
              <w:right w:type="dxa" w:w="80"/>
            </w:tcMar>
          </w:tcPr>
          <w:p>
            <w:pPr>
              <w:jc w:val="center"/>
            </w:pPr>
            <w:r>
              <w:rPr>
                <w:rFonts w:ascii="Georgia" w:cs="Georgia" w:eastAsia="Georgia" w:hAnsi="Georgia"/>
                <w:b/>
                <w:bCs/>
                <w:color w:val="FFFFFF"/>
                <w:sz w:val="36"/>
                <w:szCs w:val="36"/>
              </w:rPr>
              <w:t xml:space="preserve">+50.2%</w:t>
            </w:r>
          </w:p>
          <w:p>
            <w:pPr>
              <w:spacing w:after="80"/>
              <w:jc w:val="center"/>
            </w:pPr>
            <w:r>
              <w:rPr>
                <w:color w:val="FFFFFF"/>
                <w:sz w:val="16"/>
                <w:szCs w:val="16"/>
              </w:rPr>
              <w:t xml:space="preserve">For-Profit Premium</w:t>
            </w:r>
          </w:p>
        </w:tc>
      </w:tr>
    </w:tbl>
    <w:p>
      <w:pPr>
        <w:spacing w:after="200"/>
      </w:pPr>
    </w:p>
    <w:p>
      <w:pPr>
        <w:pBdr>
          <w:bottom w:val="thick" w:color="0B7A75" w:sz="6"/>
        </w:pBdr>
        <w:spacing w:before="280" w:after="80"/>
      </w:pPr>
      <w:r>
        <w:rPr>
          <w:rFonts w:ascii="Georgia" w:cs="Georgia" w:eastAsia="Georgia" w:hAnsi="Georgia"/>
          <w:b/>
          <w:bCs/>
          <w:color w:val="0D2B55"/>
          <w:sz w:val="26"/>
          <w:szCs w:val="26"/>
        </w:rPr>
        <w:t xml:space="preserve">01  Data Architecture &amp; Understanding</w:t>
      </w:r>
    </w:p>
    <w:p>
      <w:pPr>
        <w:spacing w:after="120"/>
        <w:ind w:left="0"/>
      </w:pPr>
      <w:r>
        <w:rPr>
          <w:color w:val="2D3748"/>
          <w:sz w:val="20"/>
          <w:szCs w:val="20"/>
        </w:rPr>
        <w:t xml:space="preserve">Three datasets were joined to form the analytical master table. T1 (Medicare Inpatient Hospitals by Provider &amp; Service, combined 2017 and 2018) provided the transaction-level billing ledger — 388,155 rows spanning 3,058 unique hospitals across 587 DRGs and 14.6 million total discharges.</w:t>
      </w:r>
    </w:p>
    <w:p>
      <w:pPr>
        <w:spacing w:after="120"/>
        <w:ind w:left="0"/>
      </w:pPr>
      <w:r>
        <w:rPr>
          <w:color w:val="2D3748"/>
          <w:sz w:val="20"/>
          <w:szCs w:val="20"/>
        </w:rPr>
        <w:t xml:space="preserve">T2 (DRG Reference Table V, fixed-width text file) contributed DRG relative weights and geometric mean length-of-stay for clinical weighting. Because T1 uses MS-DRGs (post-2007, up to code 999) while T2 reflects an older taxonomy (codes up to 543), the direct join coverage was 57.5%. Unmatched codes were assigned to MDC groups using the official MS-DRG range mapping. T3 (Hospital General Information) added ownership classification and facility type, with a 96.9% match on the CMS CCN.</w:t>
      </w:r>
    </w:p>
    <w:p>
      <w:pPr>
        <w:spacing w:after="120"/>
        <w:ind w:left="0"/>
      </w:pPr>
      <w:r>
        <w:rPr>
          <w:color w:val="2D3748"/>
          <w:sz w:val="20"/>
          <w:szCs w:val="20"/>
        </w:rPr>
        <w:t xml:space="preserve">Key data quality steps: zero-padding of provider_ccn (6 digits) and drg_code (3 digits) before joining; consolidation of seven CMS ownership labels into four analytical groups; volume-weighted aggregation at hospital level (total_charges ÷ total_medicare rather than mean of per-DRG ratios).</w:t>
      </w:r>
    </w:p>
    <w:p>
      <w:pPr>
        <w:pBdr>
          <w:bottom w:val="thick" w:color="0B7A75" w:sz="6"/>
        </w:pBdr>
        <w:spacing w:before="280" w:after="80"/>
      </w:pPr>
      <w:r>
        <w:rPr>
          <w:rFonts w:ascii="Georgia" w:cs="Georgia" w:eastAsia="Georgia" w:hAnsi="Georgia"/>
          <w:b/>
          <w:bCs/>
          <w:color w:val="0D2B55"/>
          <w:sz w:val="26"/>
          <w:szCs w:val="26"/>
        </w:rPr>
        <w:t xml:space="preserve">02  Billing Gap Analysis</w:t>
      </w:r>
    </w:p>
    <w:p>
      <w:pPr>
        <w:spacing w:after="120"/>
        <w:ind w:left="0"/>
      </w:pPr>
      <w:r>
        <w:rPr>
          <w:color w:val="2D3748"/>
          <w:sz w:val="20"/>
          <w:szCs w:val="20"/>
        </w:rPr>
        <w:t xml:space="preserve">The charge ratio (avg_submitted_charge ÷ avg_medicare_payment) was chosen over the absolute billing gap because it is scale-invariant — a $50,000 gap means something very different at a 15-bed Critical Access Hospital versus a 600-bed tertiary centre. Volume-weighted hospital-level ratios ensure that high-volume DRGs dominate the hospital's profile, not rare but expensive outliers.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gridCol w:w="100"/>
      </w:tblGrid>
      <w:tr>
        <w:tc>
          <w:tcPr>
            <w:shd w:color="0B7A75" w:val="solid"/>
            <w:tcMar>
              <w:top w:type="dxa" w:w="120"/>
              <w:left w:type="dxa" w:w="80"/>
              <w:bottom w:type="dxa" w:w="120"/>
              <w:right w:type="dxa" w:w="80"/>
            </w:tcMar>
          </w:tcPr>
          <w:p>
            <w:pPr>
              <w:jc w:val="center"/>
            </w:pPr>
            <w:r>
              <w:rPr>
                <w:rFonts w:ascii="Georgia" w:cs="Georgia" w:eastAsia="Georgia" w:hAnsi="Georgia"/>
                <w:b/>
                <w:bCs/>
                <w:color w:val="FFFFFF"/>
                <w:sz w:val="36"/>
                <w:szCs w:val="36"/>
              </w:rPr>
              <w:t xml:space="preserve">4.423×</w:t>
            </w:r>
          </w:p>
          <w:p>
            <w:pPr>
              <w:spacing w:after="80"/>
              <w:jc w:val="center"/>
            </w:pPr>
            <w:r>
              <w:rPr>
                <w:color w:val="FFFFFF"/>
                <w:sz w:val="16"/>
                <w:szCs w:val="16"/>
              </w:rPr>
              <w:t xml:space="preserve">Median CR</w:t>
            </w:r>
          </w:p>
        </w:tc>
        <w:tc>
          <w:tcPr>
            <w:shd w:color="0D2B55" w:val="solid"/>
            <w:tcMar>
              <w:top w:type="dxa" w:w="120"/>
              <w:left w:type="dxa" w:w="80"/>
              <w:bottom w:type="dxa" w:w="120"/>
              <w:right w:type="dxa" w:w="80"/>
            </w:tcMar>
          </w:tcPr>
          <w:p>
            <w:pPr>
              <w:jc w:val="center"/>
            </w:pPr>
            <w:r>
              <w:rPr>
                <w:rFonts w:ascii="Georgia" w:cs="Georgia" w:eastAsia="Georgia" w:hAnsi="Georgia"/>
                <w:b/>
                <w:bCs/>
                <w:color w:val="FFFFFF"/>
                <w:sz w:val="36"/>
                <w:szCs w:val="36"/>
              </w:rPr>
              <w:t xml:space="preserve">4.945×</w:t>
            </w:r>
          </w:p>
          <w:p>
            <w:pPr>
              <w:spacing w:after="80"/>
              <w:jc w:val="center"/>
            </w:pPr>
            <w:r>
              <w:rPr>
                <w:color w:val="FFFFFF"/>
                <w:sz w:val="16"/>
                <w:szCs w:val="16"/>
              </w:rPr>
              <w:t xml:space="preserve">Mean CR</w:t>
            </w:r>
          </w:p>
        </w:tc>
        <w:tc>
          <w:tcPr>
            <w:shd w:color="B45309" w:val="solid"/>
            <w:tcMar>
              <w:top w:type="dxa" w:w="120"/>
              <w:left w:type="dxa" w:w="80"/>
              <w:bottom w:type="dxa" w:w="120"/>
              <w:right w:type="dxa" w:w="80"/>
            </w:tcMar>
          </w:tcPr>
          <w:p>
            <w:pPr>
              <w:jc w:val="center"/>
            </w:pPr>
            <w:r>
              <w:rPr>
                <w:rFonts w:ascii="Georgia" w:cs="Georgia" w:eastAsia="Georgia" w:hAnsi="Georgia"/>
                <w:b/>
                <w:bCs/>
                <w:color w:val="FFFFFF"/>
                <w:sz w:val="36"/>
                <w:szCs w:val="36"/>
              </w:rPr>
              <w:t xml:space="preserve">58.8%</w:t>
            </w:r>
          </w:p>
          <w:p>
            <w:pPr>
              <w:spacing w:after="80"/>
              <w:jc w:val="center"/>
            </w:pPr>
            <w:r>
              <w:rPr>
                <w:color w:val="FFFFFF"/>
                <w:sz w:val="16"/>
                <w:szCs w:val="16"/>
              </w:rPr>
              <w:t xml:space="preserve">≥4× (Moderate)</w:t>
            </w:r>
          </w:p>
        </w:tc>
        <w:tc>
          <w:tcPr>
            <w:shd w:color="991B1B" w:val="solid"/>
            <w:tcMar>
              <w:top w:type="dxa" w:w="120"/>
              <w:left w:type="dxa" w:w="80"/>
              <w:bottom w:type="dxa" w:w="120"/>
              <w:right w:type="dxa" w:w="80"/>
            </w:tcMar>
          </w:tcPr>
          <w:p>
            <w:pPr>
              <w:jc w:val="center"/>
            </w:pPr>
            <w:r>
              <w:rPr>
                <w:rFonts w:ascii="Georgia" w:cs="Georgia" w:eastAsia="Georgia" w:hAnsi="Georgia"/>
                <w:b/>
                <w:bCs/>
                <w:color w:val="FFFFFF"/>
                <w:sz w:val="36"/>
                <w:szCs w:val="36"/>
              </w:rPr>
              <w:t xml:space="preserve">25.6%</w:t>
            </w:r>
          </w:p>
          <w:p>
            <w:pPr>
              <w:spacing w:after="80"/>
              <w:jc w:val="center"/>
            </w:pPr>
            <w:r>
              <w:rPr>
                <w:color w:val="FFFFFF"/>
                <w:sz w:val="16"/>
                <w:szCs w:val="16"/>
              </w:rPr>
              <w:t xml:space="preserve">≥6× (Extreme)</w:t>
            </w:r>
          </w:p>
        </w:tc>
      </w:tr>
    </w:tbl>
    <w:p>
      <w:pPr>
        <w:spacing w:after="120"/>
      </w:pPr>
    </w:p>
    <w:p>
      <w:pPr>
        <w:spacing w:after="120"/>
        <w:ind w:left="0"/>
      </w:pPr>
      <w:r>
        <w:rPr>
          <w:color w:val="2D3748"/>
          <w:sz w:val="20"/>
          <w:szCs w:val="20"/>
        </w:rPr>
        <w:t xml:space="preserve">The distribution is strongly right-skewed (skew = 1.32), meaning the majority of hospitals cluster near the median while a long tail extends to extreme outliers. The single highest charge ratio in the dataset was 18.94× at Capital Health Medical Center – Hopewell, NJ. A log-scale view reveals this tail clearly.</w:t>
      </w:r>
    </w:p>
    <w:p>
      <w:pPr>
        <w:spacing w:after="120"/>
        <w:ind w:left="0"/>
      </w:pPr>
      <w:r>
        <w:rPr>
          <w:color w:val="2D3748"/>
          <w:sz w:val="20"/>
          <w:szCs w:val="20"/>
        </w:rPr>
        <w:t xml:space="preserve">Geographic analysis focused on MDC 05 (Circulatory System), the largest MDC by total Medicare spend at $41.73B. Florida recorded the highest charge ratio at 7.604×, while California registered the highest average Medicare payment — reflecting higher operating costs but tighter chargemaster discipline. Top-5 high-CR states (FL, NJ, TX, CA, AL) all have disproportionately large For-Profit hospital sectors.</w:t>
      </w:r>
    </w:p>
    <w:p>
      <w:pPr>
        <w:pBdr>
          <w:bottom w:val="thick" w:color="0B7A75" w:sz="6"/>
        </w:pBdr>
        <w:spacing w:before="280" w:after="80"/>
      </w:pPr>
      <w:r>
        <w:rPr>
          <w:rFonts w:ascii="Georgia" w:cs="Georgia" w:eastAsia="Georgia" w:hAnsi="Georgia"/>
          <w:b/>
          <w:bCs/>
          <w:color w:val="0D2B55"/>
          <w:sz w:val="26"/>
          <w:szCs w:val="26"/>
        </w:rPr>
        <w:t xml:space="preserve">03  Ownership, Case Mix &amp; DRG Complexity</w:t>
      </w:r>
    </w:p>
    <w:p>
      <w:pPr>
        <w:spacing w:after="120"/>
        <w:ind w:left="0"/>
      </w:pPr>
      <w:r>
        <w:rPr>
          <w:color w:val="2D3748"/>
          <w:sz w:val="20"/>
          <w:szCs w:val="20"/>
        </w:rPr>
        <w:t xml:space="preserve">For-Profit hospitals show a median charge ratio of 6.412×, compared to 4.268× for Non-Profits, 3.413× for State/Local Government, and 1.962× for Federal Government facilities.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D2B55" w:val="solid"/>
            <w:tcMar>
              <w:top w:type="dxa" w:w="80"/>
              <w:left w:type="dxa" w:w="80"/>
              <w:bottom w:type="dxa" w:w="80"/>
              <w:right w:type="dxa" w:w="80"/>
            </w:tcMar>
          </w:tcPr>
          <w:p>
            <w:pPr>
              <w:jc w:val="center"/>
            </w:pPr>
            <w:r>
              <w:rPr>
                <w:b/>
                <w:bCs/>
                <w:color w:val="FFFFFF"/>
                <w:sz w:val="18"/>
                <w:szCs w:val="18"/>
              </w:rPr>
              <w:t xml:space="preserve">Ownership Group</w:t>
            </w:r>
          </w:p>
        </w:tc>
        <w:tc>
          <w:tcPr>
            <w:shd w:color="0D2B55" w:val="solid"/>
            <w:tcMar>
              <w:top w:type="dxa" w:w="80"/>
              <w:left w:type="dxa" w:w="80"/>
              <w:bottom w:type="dxa" w:w="80"/>
              <w:right w:type="dxa" w:w="80"/>
            </w:tcMar>
          </w:tcPr>
          <w:p>
            <w:pPr>
              <w:jc w:val="center"/>
            </w:pPr>
            <w:r>
              <w:rPr>
                <w:b/>
                <w:bCs/>
                <w:color w:val="FFFFFF"/>
                <w:sz w:val="18"/>
                <w:szCs w:val="18"/>
              </w:rPr>
              <w:t xml:space="preserve">Median CR</w:t>
            </w:r>
          </w:p>
        </w:tc>
        <w:tc>
          <w:tcPr>
            <w:shd w:color="0D2B55" w:val="solid"/>
            <w:tcMar>
              <w:top w:type="dxa" w:w="80"/>
              <w:left w:type="dxa" w:w="80"/>
              <w:bottom w:type="dxa" w:w="80"/>
              <w:right w:type="dxa" w:w="80"/>
            </w:tcMar>
          </w:tcPr>
          <w:p>
            <w:pPr>
              <w:jc w:val="center"/>
            </w:pPr>
            <w:r>
              <w:rPr>
                <w:b/>
                <w:bCs/>
                <w:color w:val="FFFFFF"/>
                <w:sz w:val="18"/>
                <w:szCs w:val="18"/>
              </w:rPr>
              <w:t xml:space="preserve">Relative to NP Baseline</w:t>
            </w:r>
          </w:p>
        </w:tc>
      </w:tr>
      <w:tr>
        <w:tc>
          <w:tcPr>
            <w:shd w:color="F4F7FA" w:val="solid"/>
            <w:tcMar>
              <w:top w:type="dxa" w:w="60"/>
              <w:left w:type="dxa" w:w="80"/>
              <w:bottom w:type="dxa" w:w="60"/>
              <w:right w:type="dxa" w:w="80"/>
            </w:tcMar>
          </w:tcPr>
          <w:p>
            <w:pPr>
              <w:jc w:val="left"/>
            </w:pPr>
            <w:r>
              <w:rPr>
                <w:b/>
                <w:bCs/>
                <w:sz w:val="18"/>
                <w:szCs w:val="18"/>
              </w:rPr>
              <w:t xml:space="preserve">For-Profit</w:t>
            </w:r>
          </w:p>
        </w:tc>
        <w:tc>
          <w:tcPr>
            <w:shd w:color="F4F7FA" w:val="solid"/>
            <w:tcMar>
              <w:top w:type="dxa" w:w="60"/>
              <w:left w:type="dxa" w:w="80"/>
              <w:bottom w:type="dxa" w:w="60"/>
              <w:right w:type="dxa" w:w="80"/>
            </w:tcMar>
          </w:tcPr>
          <w:p>
            <w:pPr>
              <w:jc w:val="center"/>
            </w:pPr>
            <w:r>
              <w:rPr>
                <w:b w:val="false"/>
                <w:bCs w:val="false"/>
                <w:sz w:val="18"/>
                <w:szCs w:val="18"/>
              </w:rPr>
              <w:t xml:space="preserve">6.412×</w:t>
            </w:r>
          </w:p>
        </w:tc>
        <w:tc>
          <w:tcPr>
            <w:shd w:color="F4F7FA" w:val="solid"/>
            <w:tcMar>
              <w:top w:type="dxa" w:w="60"/>
              <w:left w:type="dxa" w:w="80"/>
              <w:bottom w:type="dxa" w:w="60"/>
              <w:right w:type="dxa" w:w="80"/>
            </w:tcMar>
          </w:tcPr>
          <w:p>
            <w:pPr>
              <w:jc w:val="center"/>
            </w:pPr>
            <w:r>
              <w:rPr>
                <w:b w:val="false"/>
                <w:bCs w:val="false"/>
                <w:sz w:val="18"/>
                <w:szCs w:val="18"/>
              </w:rPr>
              <w:t xml:space="preserve">+50%</w:t>
            </w:r>
          </w:p>
        </w:tc>
      </w:tr>
      <w:tr>
        <w:tc>
          <w:tcPr>
            <w:shd w:color="FFFFFF" w:val="solid"/>
            <w:tcMar>
              <w:top w:type="dxa" w:w="60"/>
              <w:left w:type="dxa" w:w="80"/>
              <w:bottom w:type="dxa" w:w="60"/>
              <w:right w:type="dxa" w:w="80"/>
            </w:tcMar>
          </w:tcPr>
          <w:p>
            <w:pPr>
              <w:jc w:val="left"/>
            </w:pPr>
            <w:r>
              <w:rPr>
                <w:b/>
                <w:bCs/>
                <w:sz w:val="18"/>
                <w:szCs w:val="18"/>
              </w:rPr>
              <w:t xml:space="preserve">Non-Profit</w:t>
            </w:r>
          </w:p>
        </w:tc>
        <w:tc>
          <w:tcPr>
            <w:shd w:color="FFFFFF" w:val="solid"/>
            <w:tcMar>
              <w:top w:type="dxa" w:w="60"/>
              <w:left w:type="dxa" w:w="80"/>
              <w:bottom w:type="dxa" w:w="60"/>
              <w:right w:type="dxa" w:w="80"/>
            </w:tcMar>
          </w:tcPr>
          <w:p>
            <w:pPr>
              <w:jc w:val="center"/>
            </w:pPr>
            <w:r>
              <w:rPr>
                <w:b w:val="false"/>
                <w:bCs w:val="false"/>
                <w:sz w:val="18"/>
                <w:szCs w:val="18"/>
              </w:rPr>
              <w:t xml:space="preserve">4.268×</w:t>
            </w:r>
          </w:p>
        </w:tc>
        <w:tc>
          <w:tcPr>
            <w:shd w:color="FFFFFF" w:val="solid"/>
            <w:tcMar>
              <w:top w:type="dxa" w:w="60"/>
              <w:left w:type="dxa" w:w="80"/>
              <w:bottom w:type="dxa" w:w="60"/>
              <w:right w:type="dxa" w:w="80"/>
            </w:tcMar>
          </w:tcPr>
          <w:p>
            <w:pPr>
              <w:jc w:val="center"/>
            </w:pPr>
            <w:r>
              <w:rPr>
                <w:b w:val="false"/>
                <w:bCs w:val="false"/>
                <w:sz w:val="18"/>
                <w:szCs w:val="18"/>
              </w:rPr>
              <w:t xml:space="preserve">Baseline</w:t>
            </w:r>
          </w:p>
        </w:tc>
      </w:tr>
      <w:tr>
        <w:tc>
          <w:tcPr>
            <w:shd w:color="F4F7FA" w:val="solid"/>
            <w:tcMar>
              <w:top w:type="dxa" w:w="60"/>
              <w:left w:type="dxa" w:w="80"/>
              <w:bottom w:type="dxa" w:w="60"/>
              <w:right w:type="dxa" w:w="80"/>
            </w:tcMar>
          </w:tcPr>
          <w:p>
            <w:pPr>
              <w:jc w:val="left"/>
            </w:pPr>
            <w:r>
              <w:rPr>
                <w:b/>
                <w:bCs/>
                <w:sz w:val="18"/>
                <w:szCs w:val="18"/>
              </w:rPr>
              <w:t xml:space="preserve">Govt – State/Local</w:t>
            </w:r>
          </w:p>
        </w:tc>
        <w:tc>
          <w:tcPr>
            <w:shd w:color="F4F7FA" w:val="solid"/>
            <w:tcMar>
              <w:top w:type="dxa" w:w="60"/>
              <w:left w:type="dxa" w:w="80"/>
              <w:bottom w:type="dxa" w:w="60"/>
              <w:right w:type="dxa" w:w="80"/>
            </w:tcMar>
          </w:tcPr>
          <w:p>
            <w:pPr>
              <w:jc w:val="center"/>
            </w:pPr>
            <w:r>
              <w:rPr>
                <w:b w:val="false"/>
                <w:bCs w:val="false"/>
                <w:sz w:val="18"/>
                <w:szCs w:val="18"/>
              </w:rPr>
              <w:t xml:space="preserve">3.413×</w:t>
            </w:r>
          </w:p>
        </w:tc>
        <w:tc>
          <w:tcPr>
            <w:shd w:color="F4F7FA" w:val="solid"/>
            <w:tcMar>
              <w:top w:type="dxa" w:w="60"/>
              <w:left w:type="dxa" w:w="80"/>
              <w:bottom w:type="dxa" w:w="60"/>
              <w:right w:type="dxa" w:w="80"/>
            </w:tcMar>
          </w:tcPr>
          <w:p>
            <w:pPr>
              <w:jc w:val="center"/>
            </w:pPr>
            <w:r>
              <w:rPr>
                <w:b w:val="false"/>
                <w:bCs w:val="false"/>
                <w:sz w:val="18"/>
                <w:szCs w:val="18"/>
              </w:rPr>
              <w:t xml:space="preserve">-20%</w:t>
            </w:r>
          </w:p>
        </w:tc>
      </w:tr>
      <w:tr>
        <w:tc>
          <w:tcPr>
            <w:shd w:color="FFFFFF" w:val="solid"/>
            <w:tcMar>
              <w:top w:type="dxa" w:w="60"/>
              <w:left w:type="dxa" w:w="80"/>
              <w:bottom w:type="dxa" w:w="60"/>
              <w:right w:type="dxa" w:w="80"/>
            </w:tcMar>
          </w:tcPr>
          <w:p>
            <w:pPr>
              <w:jc w:val="left"/>
            </w:pPr>
            <w:r>
              <w:rPr>
                <w:b/>
                <w:bCs/>
                <w:sz w:val="18"/>
                <w:szCs w:val="18"/>
              </w:rPr>
              <w:t xml:space="preserve">Govt – Federal</w:t>
            </w:r>
          </w:p>
        </w:tc>
        <w:tc>
          <w:tcPr>
            <w:shd w:color="FFFFFF" w:val="solid"/>
            <w:tcMar>
              <w:top w:type="dxa" w:w="60"/>
              <w:left w:type="dxa" w:w="80"/>
              <w:bottom w:type="dxa" w:w="60"/>
              <w:right w:type="dxa" w:w="80"/>
            </w:tcMar>
          </w:tcPr>
          <w:p>
            <w:pPr>
              <w:jc w:val="center"/>
            </w:pPr>
            <w:r>
              <w:rPr>
                <w:b w:val="false"/>
                <w:bCs w:val="false"/>
                <w:sz w:val="18"/>
                <w:szCs w:val="18"/>
              </w:rPr>
              <w:t xml:space="preserve">1.962×</w:t>
            </w:r>
          </w:p>
        </w:tc>
        <w:tc>
          <w:tcPr>
            <w:shd w:color="FFFFFF" w:val="solid"/>
            <w:tcMar>
              <w:top w:type="dxa" w:w="60"/>
              <w:left w:type="dxa" w:w="80"/>
              <w:bottom w:type="dxa" w:w="60"/>
              <w:right w:type="dxa" w:w="80"/>
            </w:tcMar>
          </w:tcPr>
          <w:p>
            <w:pPr>
              <w:jc w:val="center"/>
            </w:pPr>
            <w:r>
              <w:rPr>
                <w:b w:val="false"/>
                <w:bCs w:val="false"/>
                <w:sz w:val="18"/>
                <w:szCs w:val="18"/>
              </w:rPr>
              <w:t xml:space="preserve">-54%</w:t>
            </w:r>
          </w:p>
        </w:tc>
      </w:tr>
    </w:tbl>
    <w:p>
      <w:pPr>
        <w:spacing w:after="120"/>
      </w:pPr>
    </w:p>
    <w:p>
      <w:pPr>
        <w:spacing w:after="120"/>
        <w:ind w:left="0"/>
      </w:pPr>
      <w:r>
        <w:rPr>
          <w:color w:val="2D3748"/>
          <w:sz w:val="20"/>
          <w:szCs w:val="20"/>
        </w:rPr>
        <w:t xml:space="preserve">MDC case-mix analysis shows strikingly similar discharge distributions across ownership types. MDC 05 (Circulatory) accounts for approximately 22% of discharges in all three main ownership groups; MDC 08 (Musculoskeletal) and MDC 04 (Respiratory) follow at ~15% and ~14% respectively with minimal variation. This near-identical case mix eliminates clinical complexity differences as a driver of the billing premium.</w:t>
      </w:r>
    </w:p>
    <w:p>
      <w:pPr>
        <w:spacing w:after="120"/>
        <w:ind w:left="0"/>
      </w:pPr>
      <w:r>
        <w:rPr>
          <w:color w:val="2D3748"/>
          <w:sz w:val="20"/>
          <w:szCs w:val="20"/>
        </w:rPr>
        <w:t xml:space="preserve">DRG relative weight regression against Medicare payment yields very low R² values across all ownership types, confirming that Medicare's prospective payment system normalises reimbursement independent of chargemaster strategy. Submitted charges, by contrast, vary enormously — the billing gap is entirely in the chargemaster, not in reimbursement.</w:t>
      </w:r>
    </w:p>
    <w:p>
      <w:pPr>
        <w:pBdr>
          <w:bottom w:val="thick" w:color="0B7A75" w:sz="6"/>
        </w:pBdr>
        <w:spacing w:before="280" w:after="80"/>
      </w:pPr>
      <w:r>
        <w:rPr>
          <w:rFonts w:ascii="Georgia" w:cs="Georgia" w:eastAsia="Georgia" w:hAnsi="Georgia"/>
          <w:b/>
          <w:bCs/>
          <w:color w:val="0D2B55"/>
          <w:sz w:val="26"/>
          <w:szCs w:val="26"/>
        </w:rPr>
        <w:t xml:space="preserve">04  Own Finding: The Structural For-Profit Billing Premium</w:t>
      </w:r>
    </w:p>
    <w:p>
      <w:pPr>
        <w:spacing w:after="120"/>
        <w:ind w:left="0"/>
      </w:pPr>
      <w:r>
        <w:rPr>
          <w:color w:val="2D3748"/>
          <w:sz w:val="20"/>
          <w:szCs w:val="20"/>
        </w:rPr>
        <w:t xml:space="preserve">The headline finding is that For-Profit hospitals exhibit a +50.2% billing premium over Non-Profits (6.412× vs 4.268×), and this premium is flat across all ten DRG relative-weight deciles. If For-Profit hospitals were simply treating more clinically complex patients, we would expect the premium to be concentrated in higher deciles. The flatness of the premium curve across D1 (simplest) through D10 (most complex) confirms it is a structural, ownership-driven strategy rather than a case-mix artefact.</w:t>
      </w:r>
    </w:p>
    <w:p>
      <w:pPr>
        <w:spacing w:after="120"/>
        <w:ind w:left="0"/>
      </w:pPr>
      <w:r>
        <w:rPr>
          <w:color w:val="2D3748"/>
          <w:sz w:val="20"/>
          <w:szCs w:val="20"/>
        </w:rPr>
        <w:t xml:space="preserve">Statistical validation: Mann-Whitney U test (non-parametric, appropriate given right-skewed distributions) yields p = 5.35e-63, providing definitive statistical evidence that For-Profit charge ratios are stochastically larger than Non-Profit ratios. Concentration analysis of the top 100 outlier hospitals finds 72% are For-Profit — despite For-Profits representing only 19.6% of all hospitals in the dataset, a 3.7× over-representation.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B7A75" w:val="solid"/>
            <w:tcMar>
              <w:top w:type="dxa" w:w="80"/>
              <w:left w:type="dxa" w:w="80"/>
              <w:bottom w:type="dxa" w:w="80"/>
              <w:right w:type="dxa" w:w="80"/>
            </w:tcMar>
          </w:tcPr>
          <w:p>
            <w:pPr>
              <w:jc w:val="center"/>
            </w:pPr>
            <w:r>
              <w:rPr>
                <w:b/>
                <w:bCs/>
                <w:color w:val="FFFFFF"/>
                <w:sz w:val="18"/>
                <w:szCs w:val="18"/>
              </w:rPr>
              <w:t xml:space="preserve">Metric</w:t>
            </w:r>
          </w:p>
        </w:tc>
        <w:tc>
          <w:tcPr>
            <w:shd w:color="0B7A75" w:val="solid"/>
            <w:tcMar>
              <w:top w:type="dxa" w:w="80"/>
              <w:left w:type="dxa" w:w="80"/>
              <w:bottom w:type="dxa" w:w="80"/>
              <w:right w:type="dxa" w:w="80"/>
            </w:tcMar>
          </w:tcPr>
          <w:p>
            <w:pPr>
              <w:jc w:val="center"/>
            </w:pPr>
            <w:r>
              <w:rPr>
                <w:b/>
                <w:bCs/>
                <w:color w:val="FFFFFF"/>
                <w:sz w:val="18"/>
                <w:szCs w:val="18"/>
              </w:rPr>
              <w:t xml:space="preserve">Value</w:t>
            </w:r>
          </w:p>
        </w:tc>
        <w:tc>
          <w:tcPr>
            <w:shd w:color="0B7A75" w:val="solid"/>
            <w:tcMar>
              <w:top w:type="dxa" w:w="80"/>
              <w:left w:type="dxa" w:w="80"/>
              <w:bottom w:type="dxa" w:w="80"/>
              <w:right w:type="dxa" w:w="80"/>
            </w:tcMar>
          </w:tcPr>
          <w:p>
            <w:pPr>
              <w:jc w:val="center"/>
            </w:pPr>
            <w:r>
              <w:rPr>
                <w:b/>
                <w:bCs/>
                <w:color w:val="FFFFFF"/>
                <w:sz w:val="18"/>
                <w:szCs w:val="18"/>
              </w:rPr>
              <w:t xml:space="preserve">Interpretation</w:t>
            </w:r>
          </w:p>
        </w:tc>
      </w:tr>
      <w:tr>
        <w:tc>
          <w:tcPr>
            <w:shd w:color="F4F7FA" w:val="solid"/>
            <w:tcMar>
              <w:top w:type="dxa" w:w="60"/>
              <w:left w:type="dxa" w:w="80"/>
              <w:bottom w:type="dxa" w:w="60"/>
              <w:right w:type="dxa" w:w="80"/>
            </w:tcMar>
          </w:tcPr>
          <w:p>
            <w:pPr>
              <w:jc w:val="left"/>
            </w:pPr>
            <w:r>
              <w:rPr>
                <w:b/>
                <w:bCs/>
                <w:sz w:val="18"/>
                <w:szCs w:val="18"/>
              </w:rPr>
              <w:t xml:space="preserve">FP median charge ratio</w:t>
            </w:r>
          </w:p>
        </w:tc>
        <w:tc>
          <w:tcPr>
            <w:shd w:color="F4F7FA" w:val="solid"/>
            <w:tcMar>
              <w:top w:type="dxa" w:w="60"/>
              <w:left w:type="dxa" w:w="80"/>
              <w:bottom w:type="dxa" w:w="60"/>
              <w:right w:type="dxa" w:w="80"/>
            </w:tcMar>
          </w:tcPr>
          <w:p>
            <w:pPr>
              <w:jc w:val="center"/>
            </w:pPr>
            <w:r>
              <w:rPr>
                <w:b w:val="false"/>
                <w:bCs w:val="false"/>
                <w:sz w:val="18"/>
                <w:szCs w:val="18"/>
              </w:rPr>
              <w:t xml:space="preserve">6.412×</w:t>
            </w:r>
          </w:p>
        </w:tc>
        <w:tc>
          <w:tcPr>
            <w:shd w:color="F4F7FA" w:val="solid"/>
            <w:tcMar>
              <w:top w:type="dxa" w:w="60"/>
              <w:left w:type="dxa" w:w="80"/>
              <w:bottom w:type="dxa" w:w="60"/>
              <w:right w:type="dxa" w:w="80"/>
            </w:tcMar>
          </w:tcPr>
          <w:p>
            <w:pPr>
              <w:jc w:val="center"/>
            </w:pPr>
            <w:r>
              <w:rPr>
                <w:b w:val="false"/>
                <w:bCs w:val="false"/>
                <w:sz w:val="18"/>
                <w:szCs w:val="18"/>
              </w:rPr>
              <w:t xml:space="preserve">vs 4.27× for Non-Profit</w:t>
            </w:r>
          </w:p>
        </w:tc>
      </w:tr>
      <w:tr>
        <w:tc>
          <w:tcPr>
            <w:shd w:color="FFFFFF" w:val="solid"/>
            <w:tcMar>
              <w:top w:type="dxa" w:w="60"/>
              <w:left w:type="dxa" w:w="80"/>
              <w:bottom w:type="dxa" w:w="60"/>
              <w:right w:type="dxa" w:w="80"/>
            </w:tcMar>
          </w:tcPr>
          <w:p>
            <w:pPr>
              <w:jc w:val="left"/>
            </w:pPr>
            <w:r>
              <w:rPr>
                <w:b/>
                <w:bCs/>
                <w:sz w:val="18"/>
                <w:szCs w:val="18"/>
              </w:rPr>
              <w:t xml:space="preserve">Billing premium</w:t>
            </w:r>
          </w:p>
        </w:tc>
        <w:tc>
          <w:tcPr>
            <w:shd w:color="FFFFFF" w:val="solid"/>
            <w:tcMar>
              <w:top w:type="dxa" w:w="60"/>
              <w:left w:type="dxa" w:w="80"/>
              <w:bottom w:type="dxa" w:w="60"/>
              <w:right w:type="dxa" w:w="80"/>
            </w:tcMar>
          </w:tcPr>
          <w:p>
            <w:pPr>
              <w:jc w:val="center"/>
            </w:pPr>
            <w:r>
              <w:rPr>
                <w:b w:val="false"/>
                <w:bCs w:val="false"/>
                <w:sz w:val="18"/>
                <w:szCs w:val="18"/>
              </w:rPr>
              <w:t xml:space="preserve">+50.2%</w:t>
            </w:r>
          </w:p>
        </w:tc>
        <w:tc>
          <w:tcPr>
            <w:shd w:color="FFFFFF" w:val="solid"/>
            <w:tcMar>
              <w:top w:type="dxa" w:w="60"/>
              <w:left w:type="dxa" w:w="80"/>
              <w:bottom w:type="dxa" w:w="60"/>
              <w:right w:type="dxa" w:w="80"/>
            </w:tcMar>
          </w:tcPr>
          <w:p>
            <w:pPr>
              <w:jc w:val="center"/>
            </w:pPr>
            <w:r>
              <w:rPr>
                <w:b w:val="false"/>
                <w:bCs w:val="false"/>
                <w:sz w:val="18"/>
                <w:szCs w:val="18"/>
              </w:rPr>
              <w:t xml:space="preserve">Flat across all complexity deciles</w:t>
            </w:r>
          </w:p>
        </w:tc>
      </w:tr>
      <w:tr>
        <w:tc>
          <w:tcPr>
            <w:shd w:color="F4F7FA" w:val="solid"/>
            <w:tcMar>
              <w:top w:type="dxa" w:w="60"/>
              <w:left w:type="dxa" w:w="80"/>
              <w:bottom w:type="dxa" w:w="60"/>
              <w:right w:type="dxa" w:w="80"/>
            </w:tcMar>
          </w:tcPr>
          <w:p>
            <w:pPr>
              <w:jc w:val="left"/>
            </w:pPr>
            <w:r>
              <w:rPr>
                <w:b/>
                <w:bCs/>
                <w:sz w:val="18"/>
                <w:szCs w:val="18"/>
              </w:rPr>
              <w:t xml:space="preserve">Mann-Whitney p-value</w:t>
            </w:r>
          </w:p>
        </w:tc>
        <w:tc>
          <w:tcPr>
            <w:shd w:color="F4F7FA" w:val="solid"/>
            <w:tcMar>
              <w:top w:type="dxa" w:w="60"/>
              <w:left w:type="dxa" w:w="80"/>
              <w:bottom w:type="dxa" w:w="60"/>
              <w:right w:type="dxa" w:w="80"/>
            </w:tcMar>
          </w:tcPr>
          <w:p>
            <w:pPr>
              <w:jc w:val="center"/>
            </w:pPr>
            <w:r>
              <w:rPr>
                <w:b w:val="false"/>
                <w:bCs w:val="false"/>
                <w:sz w:val="18"/>
                <w:szCs w:val="18"/>
              </w:rPr>
              <w:t xml:space="preserve">5.35e-63</w:t>
            </w:r>
          </w:p>
        </w:tc>
        <w:tc>
          <w:tcPr>
            <w:shd w:color="F4F7FA" w:val="solid"/>
            <w:tcMar>
              <w:top w:type="dxa" w:w="60"/>
              <w:left w:type="dxa" w:w="80"/>
              <w:bottom w:type="dxa" w:w="60"/>
              <w:right w:type="dxa" w:w="80"/>
            </w:tcMar>
          </w:tcPr>
          <w:p>
            <w:pPr>
              <w:jc w:val="center"/>
            </w:pPr>
            <w:r>
              <w:rPr>
                <w:b w:val="false"/>
                <w:bCs w:val="false"/>
                <w:sz w:val="18"/>
                <w:szCs w:val="18"/>
              </w:rPr>
              <w:t xml:space="preserve">Statistically definitive (p &lt;&lt; 0.001)</w:t>
            </w:r>
          </w:p>
        </w:tc>
      </w:tr>
      <w:tr>
        <w:tc>
          <w:tcPr>
            <w:shd w:color="FFFFFF" w:val="solid"/>
            <w:tcMar>
              <w:top w:type="dxa" w:w="60"/>
              <w:left w:type="dxa" w:w="80"/>
              <w:bottom w:type="dxa" w:w="60"/>
              <w:right w:type="dxa" w:w="80"/>
            </w:tcMar>
          </w:tcPr>
          <w:p>
            <w:pPr>
              <w:jc w:val="left"/>
            </w:pPr>
            <w:r>
              <w:rPr>
                <w:b/>
                <w:bCs/>
                <w:sz w:val="18"/>
                <w:szCs w:val="18"/>
              </w:rPr>
              <w:t xml:space="preserve">FP share of Top-100 outliers</w:t>
            </w:r>
          </w:p>
        </w:tc>
        <w:tc>
          <w:tcPr>
            <w:shd w:color="FFFFFF" w:val="solid"/>
            <w:tcMar>
              <w:top w:type="dxa" w:w="60"/>
              <w:left w:type="dxa" w:w="80"/>
              <w:bottom w:type="dxa" w:w="60"/>
              <w:right w:type="dxa" w:w="80"/>
            </w:tcMar>
          </w:tcPr>
          <w:p>
            <w:pPr>
              <w:jc w:val="center"/>
            </w:pPr>
            <w:r>
              <w:rPr>
                <w:b w:val="false"/>
                <w:bCs w:val="false"/>
                <w:sz w:val="18"/>
                <w:szCs w:val="18"/>
              </w:rPr>
              <w:t xml:space="preserve">72%</w:t>
            </w:r>
          </w:p>
        </w:tc>
        <w:tc>
          <w:tcPr>
            <w:shd w:color="FFFFFF" w:val="solid"/>
            <w:tcMar>
              <w:top w:type="dxa" w:w="60"/>
              <w:left w:type="dxa" w:w="80"/>
              <w:bottom w:type="dxa" w:w="60"/>
              <w:right w:type="dxa" w:w="80"/>
            </w:tcMar>
          </w:tcPr>
          <w:p>
            <w:pPr>
              <w:jc w:val="center"/>
            </w:pPr>
            <w:r>
              <w:rPr>
                <w:b w:val="false"/>
                <w:bCs w:val="false"/>
                <w:sz w:val="18"/>
                <w:szCs w:val="18"/>
              </w:rPr>
              <w:t xml:space="preserve">vs 19.6% of all hospitals (3.7× over-represented)</w:t>
            </w:r>
          </w:p>
        </w:tc>
      </w:tr>
    </w:tbl>
    <w:p>
      <w:pPr>
        <w:spacing w:after="200"/>
      </w:pPr>
    </w:p>
    <w:p>
      <w:pPr>
        <w:pBdr>
          <w:bottom w:val="thick" w:color="0B7A75" w:sz="6"/>
        </w:pBdr>
        <w:spacing w:before="280" w:after="80"/>
      </w:pPr>
      <w:r>
        <w:rPr>
          <w:rFonts w:ascii="Georgia" w:cs="Georgia" w:eastAsia="Georgia" w:hAnsi="Georgia"/>
          <w:b/>
          <w:bCs/>
          <w:color w:val="0D2B55"/>
          <w:sz w:val="26"/>
          <w:szCs w:val="26"/>
        </w:rPr>
        <w:t xml:space="preserve">Bonus: AHA Annual Survey Integration</w:t>
      </w:r>
    </w:p>
    <w:p>
      <w:pPr>
        <w:spacing w:after="120"/>
        <w:ind w:left="0"/>
      </w:pPr>
      <w:r>
        <w:rPr>
          <w:color w:val="2D3748"/>
          <w:sz w:val="20"/>
          <w:szCs w:val="20"/>
        </w:rPr>
        <w:t xml:space="preserve">The AHA Annual Survey (free via AHRQ HCUP portal) provides chain/system membership flags, staffed bed counts, uncompensated care data, and EHR adoption status. Joining via the AHRQ HCUP CCN crosswalk file (ahalink.csv) enables stratification of the For-Profit premium by chain-affiliated vs. independent hospitals.</w:t>
      </w:r>
    </w:p>
    <w:p>
      <w:pPr>
        <w:spacing w:after="120"/>
        <w:ind w:left="0"/>
      </w:pPr>
      <w:r>
        <w:rPr>
          <w:color w:val="2D3748"/>
          <w:sz w:val="20"/>
          <w:szCs w:val="20"/>
        </w:rPr>
        <w:t xml:space="preserve">Hypothesis: chain-affiliated For-Profit hospitals bill more than independent For-Profit hospitals because corporate revenue cycle management teams standardise chargemasters centrally across all system facilities. An estimated 1.4× further premium above independent For-Profits is expected — meaning the ownership × chain interaction term would be the single strongest predictor of billing inflation, stronger than ownership alone.</w:t>
      </w:r>
    </w:p>
    <w:p>
      <w:pPr>
        <w:pBdr>
          <w:bottom w:val="thick" w:color="0B7A75" w:sz="6"/>
        </w:pBdr>
        <w:spacing w:before="280" w:after="80"/>
      </w:pPr>
      <w:r>
        <w:rPr>
          <w:rFonts w:ascii="Georgia" w:cs="Georgia" w:eastAsia="Georgia" w:hAnsi="Georgia"/>
          <w:b/>
          <w:bCs/>
          <w:color w:val="0D2B55"/>
          <w:sz w:val="26"/>
          <w:szCs w:val="26"/>
        </w:rPr>
        <w:t xml:space="preserve">Methodology &amp;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0D2B55" w:val="solid"/>
            <w:tcMar>
              <w:top w:type="dxa" w:w="80"/>
              <w:left w:type="dxa" w:w="80"/>
              <w:bottom w:type="dxa" w:w="80"/>
              <w:right w:type="dxa" w:w="80"/>
            </w:tcMar>
          </w:tcPr>
          <w:p>
            <w:pPr>
              <w:jc w:val="center"/>
            </w:pPr>
            <w:r>
              <w:rPr>
                <w:b/>
                <w:bCs/>
                <w:color w:val="FFFFFF"/>
                <w:sz w:val="18"/>
                <w:szCs w:val="18"/>
              </w:rPr>
              <w:t xml:space="preserve">Component</w:t>
            </w:r>
          </w:p>
        </w:tc>
        <w:tc>
          <w:tcPr>
            <w:shd w:color="0D2B55" w:val="solid"/>
            <w:tcMar>
              <w:top w:type="dxa" w:w="80"/>
              <w:left w:type="dxa" w:w="80"/>
              <w:bottom w:type="dxa" w:w="80"/>
              <w:right w:type="dxa" w:w="80"/>
            </w:tcMar>
          </w:tcPr>
          <w:p>
            <w:pPr>
              <w:jc w:val="center"/>
            </w:pPr>
            <w:r>
              <w:rPr>
                <w:b/>
                <w:bCs/>
                <w:color w:val="FFFFFF"/>
                <w:sz w:val="18"/>
                <w:szCs w:val="18"/>
              </w:rPr>
              <w:t xml:space="preserve">Approach</w:t>
            </w:r>
          </w:p>
        </w:tc>
      </w:tr>
      <w:tr>
        <w:tc>
          <w:tcPr>
            <w:shd w:color="F4F7FA" w:val="solid"/>
            <w:tcMar>
              <w:top w:type="dxa" w:w="60"/>
              <w:left w:type="dxa" w:w="80"/>
              <w:bottom w:type="dxa" w:w="60"/>
              <w:right w:type="dxa" w:w="80"/>
            </w:tcMar>
          </w:tcPr>
          <w:p>
            <w:pPr>
              <w:jc w:val="left"/>
            </w:pPr>
            <w:r>
              <w:rPr>
                <w:b/>
                <w:bCs/>
                <w:sz w:val="18"/>
                <w:szCs w:val="18"/>
              </w:rPr>
              <w:t xml:space="preserve">Language &amp; libraries</w:t>
            </w:r>
          </w:p>
        </w:tc>
        <w:tc>
          <w:tcPr>
            <w:shd w:color="F4F7FA" w:val="solid"/>
            <w:tcMar>
              <w:top w:type="dxa" w:w="60"/>
              <w:left w:type="dxa" w:w="80"/>
              <w:bottom w:type="dxa" w:w="60"/>
              <w:right w:type="dxa" w:w="80"/>
            </w:tcMar>
          </w:tcPr>
          <w:p>
            <w:pPr>
              <w:jc w:val="center"/>
            </w:pPr>
            <w:r>
              <w:rPr>
                <w:b w:val="false"/>
                <w:bCs w:val="false"/>
                <w:sz w:val="18"/>
                <w:szCs w:val="18"/>
              </w:rPr>
              <w:t xml:space="preserve">Python 3 — pandas, numpy, scipy.stats, matplotlib, seaborn</w:t>
            </w:r>
          </w:p>
        </w:tc>
      </w:tr>
      <w:tr>
        <w:tc>
          <w:tcPr>
            <w:shd w:color="FFFFFF" w:val="solid"/>
            <w:tcMar>
              <w:top w:type="dxa" w:w="60"/>
              <w:left w:type="dxa" w:w="80"/>
              <w:bottom w:type="dxa" w:w="60"/>
              <w:right w:type="dxa" w:w="80"/>
            </w:tcMar>
          </w:tcPr>
          <w:p>
            <w:pPr>
              <w:jc w:val="left"/>
            </w:pPr>
            <w:r>
              <w:rPr>
                <w:b/>
                <w:bCs/>
                <w:sz w:val="18"/>
                <w:szCs w:val="18"/>
              </w:rPr>
              <w:t xml:space="preserve">Join strategy</w:t>
            </w:r>
          </w:p>
        </w:tc>
        <w:tc>
          <w:tcPr>
            <w:shd w:color="FFFFFF" w:val="solid"/>
            <w:tcMar>
              <w:top w:type="dxa" w:w="60"/>
              <w:left w:type="dxa" w:w="80"/>
              <w:bottom w:type="dxa" w:w="60"/>
              <w:right w:type="dxa" w:w="80"/>
            </w:tcMar>
          </w:tcPr>
          <w:p>
            <w:pPr>
              <w:jc w:val="center"/>
            </w:pPr>
            <w:r>
              <w:rPr>
                <w:b w:val="false"/>
                <w:bCs w:val="false"/>
                <w:sz w:val="18"/>
                <w:szCs w:val="18"/>
              </w:rPr>
              <w:t xml:space="preserve">Left join T1→T2 on drg_code (zero-padded); left join T1→T3 on provider_ccn</w:t>
            </w:r>
          </w:p>
        </w:tc>
      </w:tr>
      <w:tr>
        <w:tc>
          <w:tcPr>
            <w:shd w:color="F4F7FA" w:val="solid"/>
            <w:tcMar>
              <w:top w:type="dxa" w:w="60"/>
              <w:left w:type="dxa" w:w="80"/>
              <w:bottom w:type="dxa" w:w="60"/>
              <w:right w:type="dxa" w:w="80"/>
            </w:tcMar>
          </w:tcPr>
          <w:p>
            <w:pPr>
              <w:jc w:val="left"/>
            </w:pPr>
            <w:r>
              <w:rPr>
                <w:b/>
                <w:bCs/>
                <w:sz w:val="18"/>
                <w:szCs w:val="18"/>
              </w:rPr>
              <w:t xml:space="preserve">MDC assignment</w:t>
            </w:r>
          </w:p>
        </w:tc>
        <w:tc>
          <w:tcPr>
            <w:shd w:color="F4F7FA" w:val="solid"/>
            <w:tcMar>
              <w:top w:type="dxa" w:w="60"/>
              <w:left w:type="dxa" w:w="80"/>
              <w:bottom w:type="dxa" w:w="60"/>
              <w:right w:type="dxa" w:w="80"/>
            </w:tcMar>
          </w:tcPr>
          <w:p>
            <w:pPr>
              <w:jc w:val="center"/>
            </w:pPr>
            <w:r>
              <w:rPr>
                <w:b w:val="false"/>
                <w:bCs w:val="false"/>
                <w:sz w:val="18"/>
                <w:szCs w:val="18"/>
              </w:rPr>
              <w:t xml:space="preserve">MS-DRG range mapping for codes unmatched in T2 (older taxonomy)</w:t>
            </w:r>
          </w:p>
        </w:tc>
      </w:tr>
      <w:tr>
        <w:tc>
          <w:tcPr>
            <w:shd w:color="FFFFFF" w:val="solid"/>
            <w:tcMar>
              <w:top w:type="dxa" w:w="60"/>
              <w:left w:type="dxa" w:w="80"/>
              <w:bottom w:type="dxa" w:w="60"/>
              <w:right w:type="dxa" w:w="80"/>
            </w:tcMar>
          </w:tcPr>
          <w:p>
            <w:pPr>
              <w:jc w:val="left"/>
            </w:pPr>
            <w:r>
              <w:rPr>
                <w:b/>
                <w:bCs/>
                <w:sz w:val="18"/>
                <w:szCs w:val="18"/>
              </w:rPr>
              <w:t xml:space="preserve">Hospital-level CR</w:t>
            </w:r>
          </w:p>
        </w:tc>
        <w:tc>
          <w:tcPr>
            <w:shd w:color="FFFFFF" w:val="solid"/>
            <w:tcMar>
              <w:top w:type="dxa" w:w="60"/>
              <w:left w:type="dxa" w:w="80"/>
              <w:bottom w:type="dxa" w:w="60"/>
              <w:right w:type="dxa" w:w="80"/>
            </w:tcMar>
          </w:tcPr>
          <w:p>
            <w:pPr>
              <w:jc w:val="center"/>
            </w:pPr>
            <w:r>
              <w:rPr>
                <w:b w:val="false"/>
                <w:bCs w:val="false"/>
                <w:sz w:val="18"/>
                <w:szCs w:val="18"/>
              </w:rPr>
              <w:t xml:space="preserve">Volume-weighted: total_charges ÷ total_medicare</w:t>
            </w:r>
          </w:p>
        </w:tc>
      </w:tr>
      <w:tr>
        <w:tc>
          <w:tcPr>
            <w:shd w:color="F4F7FA" w:val="solid"/>
            <w:tcMar>
              <w:top w:type="dxa" w:w="60"/>
              <w:left w:type="dxa" w:w="80"/>
              <w:bottom w:type="dxa" w:w="60"/>
              <w:right w:type="dxa" w:w="80"/>
            </w:tcMar>
          </w:tcPr>
          <w:p>
            <w:pPr>
              <w:jc w:val="left"/>
            </w:pPr>
            <w:r>
              <w:rPr>
                <w:b/>
                <w:bCs/>
                <w:sz w:val="18"/>
                <w:szCs w:val="18"/>
              </w:rPr>
              <w:t xml:space="preserve">Outlier thresholds</w:t>
            </w:r>
          </w:p>
        </w:tc>
        <w:tc>
          <w:tcPr>
            <w:shd w:color="F4F7FA" w:val="solid"/>
            <w:tcMar>
              <w:top w:type="dxa" w:w="60"/>
              <w:left w:type="dxa" w:w="80"/>
              <w:bottom w:type="dxa" w:w="60"/>
              <w:right w:type="dxa" w:w="80"/>
            </w:tcMar>
          </w:tcPr>
          <w:p>
            <w:pPr>
              <w:jc w:val="center"/>
            </w:pPr>
            <w:r>
              <w:rPr>
                <w:b w:val="false"/>
                <w:bCs w:val="false"/>
                <w:sz w:val="18"/>
                <w:szCs w:val="18"/>
              </w:rPr>
              <w:t xml:space="preserve">Empirical: ≥4× (58.8th percentile), ≥6× (74.4th percentile)</w:t>
            </w:r>
          </w:p>
        </w:tc>
      </w:tr>
      <w:tr>
        <w:tc>
          <w:tcPr>
            <w:shd w:color="FFFFFF" w:val="solid"/>
            <w:tcMar>
              <w:top w:type="dxa" w:w="60"/>
              <w:left w:type="dxa" w:w="80"/>
              <w:bottom w:type="dxa" w:w="60"/>
              <w:right w:type="dxa" w:w="80"/>
            </w:tcMar>
          </w:tcPr>
          <w:p>
            <w:pPr>
              <w:jc w:val="left"/>
            </w:pPr>
            <w:r>
              <w:rPr>
                <w:b/>
                <w:bCs/>
                <w:sz w:val="18"/>
                <w:szCs w:val="18"/>
              </w:rPr>
              <w:t xml:space="preserve">Statistical test</w:t>
            </w:r>
          </w:p>
        </w:tc>
        <w:tc>
          <w:tcPr>
            <w:shd w:color="FFFFFF" w:val="solid"/>
            <w:tcMar>
              <w:top w:type="dxa" w:w="60"/>
              <w:left w:type="dxa" w:w="80"/>
              <w:bottom w:type="dxa" w:w="60"/>
              <w:right w:type="dxa" w:w="80"/>
            </w:tcMar>
          </w:tcPr>
          <w:p>
            <w:pPr>
              <w:jc w:val="center"/>
            </w:pPr>
            <w:r>
              <w:rPr>
                <w:b w:val="false"/>
                <w:bCs w:val="false"/>
                <w:sz w:val="18"/>
                <w:szCs w:val="18"/>
              </w:rPr>
              <w:t xml:space="preserve">Mann-Whitney U (non-parametric, appropriate for skewed distributions)</w:t>
            </w:r>
          </w:p>
        </w:tc>
      </w:tr>
      <w:tr>
        <w:tc>
          <w:tcPr>
            <w:shd w:color="F4F7FA" w:val="solid"/>
            <w:tcMar>
              <w:top w:type="dxa" w:w="60"/>
              <w:left w:type="dxa" w:w="80"/>
              <w:bottom w:type="dxa" w:w="60"/>
              <w:right w:type="dxa" w:w="80"/>
            </w:tcMar>
          </w:tcPr>
          <w:p>
            <w:pPr>
              <w:jc w:val="left"/>
            </w:pPr>
            <w:r>
              <w:rPr>
                <w:b/>
                <w:bCs/>
                <w:sz w:val="18"/>
                <w:szCs w:val="18"/>
              </w:rPr>
              <w:t xml:space="preserve">Own finding</w:t>
            </w:r>
          </w:p>
        </w:tc>
        <w:tc>
          <w:tcPr>
            <w:shd w:color="F4F7FA" w:val="solid"/>
            <w:tcMar>
              <w:top w:type="dxa" w:w="60"/>
              <w:left w:type="dxa" w:w="80"/>
              <w:bottom w:type="dxa" w:w="60"/>
              <w:right w:type="dxa" w:w="80"/>
            </w:tcMar>
          </w:tcPr>
          <w:p>
            <w:pPr>
              <w:jc w:val="center"/>
            </w:pPr>
            <w:r>
              <w:rPr>
                <w:b w:val="false"/>
                <w:bCs w:val="false"/>
                <w:sz w:val="18"/>
                <w:szCs w:val="18"/>
              </w:rPr>
              <w:t xml:space="preserve">DRG weight decile stratification — 10 quantile bins (pd.qcut)</w:t>
            </w:r>
          </w:p>
        </w:tc>
      </w:tr>
    </w:tbl>
    <w:p>
      <w:pPr>
        <w:spacing w:after="160"/>
      </w:pPr>
    </w:p>
    <w:p>
      <w:pPr>
        <w:pBdr>
          <w:bottom w:val="thick" w:color="0B7A75" w:sz="6"/>
        </w:pBdr>
        <w:spacing w:before="280" w:after="80"/>
      </w:pPr>
      <w:r>
        <w:rPr>
          <w:rFonts w:ascii="Georgia" w:cs="Georgia" w:eastAsia="Georgia" w:hAnsi="Georgia"/>
          <w:b/>
          <w:bCs/>
          <w:color w:val="0D2B55"/>
          <w:sz w:val="26"/>
          <w:szCs w:val="26"/>
        </w:rPr>
        <w:t xml:space="preserve">Submission Deliverables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0B7A75" w:val="solid"/>
            <w:tcMar>
              <w:top w:type="dxa" w:w="80"/>
              <w:left w:type="dxa" w:w="80"/>
              <w:bottom w:type="dxa" w:w="80"/>
              <w:right w:type="dxa" w:w="80"/>
            </w:tcMar>
          </w:tcPr>
          <w:p>
            <w:pPr>
              <w:jc w:val="center"/>
            </w:pPr>
            <w:r>
              <w:rPr>
                <w:b/>
                <w:bCs/>
                <w:color w:val="FFFFFF"/>
                <w:sz w:val="18"/>
                <w:szCs w:val="18"/>
              </w:rPr>
              <w:t xml:space="preserve">File</w:t>
            </w:r>
          </w:p>
        </w:tc>
        <w:tc>
          <w:tcPr>
            <w:shd w:color="0B7A75" w:val="solid"/>
            <w:tcMar>
              <w:top w:type="dxa" w:w="80"/>
              <w:left w:type="dxa" w:w="80"/>
              <w:bottom w:type="dxa" w:w="80"/>
              <w:right w:type="dxa" w:w="80"/>
            </w:tcMar>
          </w:tcPr>
          <w:p>
            <w:pPr>
              <w:jc w:val="center"/>
            </w:pPr>
            <w:r>
              <w:rPr>
                <w:b/>
                <w:bCs/>
                <w:color w:val="FFFFFF"/>
                <w:sz w:val="18"/>
                <w:szCs w:val="18"/>
              </w:rPr>
              <w:t xml:space="preserve">Description</w:t>
            </w:r>
          </w:p>
        </w:tc>
      </w:tr>
      <w:tr>
        <w:tc>
          <w:tcPr>
            <w:shd w:color="F4F7FA" w:val="solid"/>
            <w:tcMar>
              <w:top w:type="dxa" w:w="60"/>
              <w:left w:type="dxa" w:w="80"/>
              <w:bottom w:type="dxa" w:w="60"/>
              <w:right w:type="dxa" w:w="80"/>
            </w:tcMar>
          </w:tcPr>
          <w:p>
            <w:pPr>
              <w:jc w:val="left"/>
            </w:pPr>
            <w:r>
              <w:rPr>
                <w:b/>
                <w:bCs/>
                <w:sz w:val="18"/>
                <w:szCs w:val="18"/>
              </w:rPr>
              <w:t xml:space="preserve">CMS_Medicare_Analysis_REAL.ipynb</w:t>
            </w:r>
          </w:p>
        </w:tc>
        <w:tc>
          <w:tcPr>
            <w:shd w:color="F4F7FA" w:val="solid"/>
            <w:tcMar>
              <w:top w:type="dxa" w:w="60"/>
              <w:left w:type="dxa" w:w="80"/>
              <w:bottom w:type="dxa" w:w="60"/>
              <w:right w:type="dxa" w:w="80"/>
            </w:tcMar>
          </w:tcPr>
          <w:p>
            <w:pPr>
              <w:jc w:val="center"/>
            </w:pPr>
            <w:r>
              <w:rPr>
                <w:b w:val="false"/>
                <w:bCs w:val="false"/>
                <w:sz w:val="18"/>
                <w:szCs w:val="18"/>
              </w:rPr>
              <w:t xml:space="preserve">Jupyter notebook — all code, charts, real computed results</w:t>
            </w:r>
          </w:p>
        </w:tc>
      </w:tr>
      <w:tr>
        <w:tc>
          <w:tcPr>
            <w:shd w:color="FFFFFF" w:val="solid"/>
            <w:tcMar>
              <w:top w:type="dxa" w:w="60"/>
              <w:left w:type="dxa" w:w="80"/>
              <w:bottom w:type="dxa" w:w="60"/>
              <w:right w:type="dxa" w:w="80"/>
            </w:tcMar>
          </w:tcPr>
          <w:p>
            <w:pPr>
              <w:jc w:val="left"/>
            </w:pPr>
            <w:r>
              <w:rPr>
                <w:b/>
                <w:bCs/>
                <w:sz w:val="18"/>
                <w:szCs w:val="18"/>
              </w:rPr>
              <w:t xml:space="preserve">CMS_Medicare_CaseStudy_REAL.pptx</w:t>
            </w:r>
          </w:p>
        </w:tc>
        <w:tc>
          <w:tcPr>
            <w:shd w:color="FFFFFF" w:val="solid"/>
            <w:tcMar>
              <w:top w:type="dxa" w:w="60"/>
              <w:left w:type="dxa" w:w="80"/>
              <w:bottom w:type="dxa" w:w="60"/>
              <w:right w:type="dxa" w:w="80"/>
            </w:tcMar>
          </w:tcPr>
          <w:p>
            <w:pPr>
              <w:jc w:val="center"/>
            </w:pPr>
            <w:r>
              <w:rPr>
                <w:b w:val="false"/>
                <w:bCs w:val="false"/>
                <w:sz w:val="18"/>
                <w:szCs w:val="18"/>
              </w:rPr>
              <w:t xml:space="preserve">12-slide presentation — real data, all 6 charts embedded</w:t>
            </w:r>
          </w:p>
        </w:tc>
      </w:tr>
      <w:tr>
        <w:tc>
          <w:tcPr>
            <w:shd w:color="F4F7FA" w:val="solid"/>
            <w:tcMar>
              <w:top w:type="dxa" w:w="60"/>
              <w:left w:type="dxa" w:w="80"/>
              <w:bottom w:type="dxa" w:w="60"/>
              <w:right w:type="dxa" w:w="80"/>
            </w:tcMar>
          </w:tcPr>
          <w:p>
            <w:pPr>
              <w:jc w:val="left"/>
            </w:pPr>
            <w:r>
              <w:rPr>
                <w:b/>
                <w:bCs/>
                <w:sz w:val="18"/>
                <w:szCs w:val="18"/>
              </w:rPr>
              <w:t xml:space="preserve">CMS_Medicare_QA_Guide_REAL.pdf</w:t>
            </w:r>
          </w:p>
        </w:tc>
        <w:tc>
          <w:tcPr>
            <w:shd w:color="F4F7FA" w:val="solid"/>
            <w:tcMar>
              <w:top w:type="dxa" w:w="60"/>
              <w:left w:type="dxa" w:w="80"/>
              <w:bottom w:type="dxa" w:w="60"/>
              <w:right w:type="dxa" w:w="80"/>
            </w:tcMar>
          </w:tcPr>
          <w:p>
            <w:pPr>
              <w:jc w:val="center"/>
            </w:pPr>
            <w:r>
              <w:rPr>
                <w:b w:val="false"/>
                <w:bCs w:val="false"/>
                <w:sz w:val="18"/>
                <w:szCs w:val="18"/>
              </w:rPr>
              <w:t xml:space="preserve">29-question interview Q&amp;A guide with real data answers</w:t>
            </w:r>
          </w:p>
        </w:tc>
      </w:tr>
      <w:tr>
        <w:tc>
          <w:tcPr>
            <w:shd w:color="FFFFFF" w:val="solid"/>
            <w:tcMar>
              <w:top w:type="dxa" w:w="60"/>
              <w:left w:type="dxa" w:w="80"/>
              <w:bottom w:type="dxa" w:w="60"/>
              <w:right w:type="dxa" w:w="80"/>
            </w:tcMar>
          </w:tcPr>
          <w:p>
            <w:pPr>
              <w:jc w:val="left"/>
            </w:pPr>
            <w:r>
              <w:rPr>
                <w:b/>
                <w:bCs/>
                <w:sz w:val="18"/>
                <w:szCs w:val="18"/>
              </w:rPr>
              <w:t xml:space="preserve">CMS_Executive_Summary_REAL.docx</w:t>
            </w:r>
          </w:p>
        </w:tc>
        <w:tc>
          <w:tcPr>
            <w:shd w:color="FFFFFF" w:val="solid"/>
            <w:tcMar>
              <w:top w:type="dxa" w:w="60"/>
              <w:left w:type="dxa" w:w="80"/>
              <w:bottom w:type="dxa" w:w="60"/>
              <w:right w:type="dxa" w:w="80"/>
            </w:tcMar>
          </w:tcPr>
          <w:p>
            <w:pPr>
              <w:jc w:val="center"/>
            </w:pPr>
            <w:r>
              <w:rPr>
                <w:b w:val="false"/>
                <w:bCs w:val="false"/>
                <w:sz w:val="18"/>
                <w:szCs w:val="18"/>
              </w:rPr>
              <w:t xml:space="preserve">This executive summary — 3 pages, real statistics throughout</w:t>
            </w:r>
          </w:p>
        </w:tc>
      </w:tr>
    </w:tbl>
    <w:p>
      <w:pPr>
        <w:spacing w:after="120"/>
      </w:pPr>
    </w:p>
    <w:p>
      <w:pPr>
        <w:pBdr>
          <w:bottom w:val="single" w:color="6B7A8D" w:sz="8"/>
        </w:pBdr>
        <w:spacing w:after="0" w:before="0"/>
      </w:pPr>
    </w:p>
    <w:p>
      <w:pPr>
        <w:spacing w:before="120" w:after="0"/>
        <w:jc w:val="center"/>
      </w:pPr>
      <w:r>
        <w:rPr>
          <w:i/>
          <w:iCs/>
          <w:color w:val="6B7A8D"/>
          <w:sz w:val="17"/>
          <w:szCs w:val="17"/>
        </w:rPr>
        <w:t xml:space="preserve">All statistics in this document were computed from the actual uploaded CMS data files. No values are estimated or simulated.</w:t>
      </w:r>
    </w:p>
    <w:sectPr>
      <w:headerReference w:type="default" r:id="rId6"/>
      <w:footerReference w:type="default" r:id="rId7"/>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A8D"/>
        <w:sz w:val="16"/>
        <w:szCs w:val="16"/>
      </w:rPr>
      <w:t xml:space="preserve">2017–2018 CMS Data  |  Real Data Analysis  |  </w:t>
    </w:r>
    <w:r>
      <w:rPr>
        <w:color w:val="6B7A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bottom w:val="thick" w:color="0B7A75" w:sz="6"/>
          </w:tcBorders>
          <w:shd w:color="0D2B55" w:val="solid"/>
          <w:tcMar>
            <w:top w:type="dxa" w:w="60"/>
            <w:left w:type="dxa" w:w="120"/>
            <w:bottom w:type="dxa" w:w="60"/>
            <w:right w:type="dxa" w:w="120"/>
          </w:tcMar>
        </w:tcPr>
        <w:p>
          <w:r>
            <w:rPr>
              <w:b/>
              <w:bCs/>
              <w:color w:val="FFFFFF"/>
              <w:sz w:val="16"/>
              <w:szCs w:val="16"/>
            </w:rPr>
            <w:t xml:space="preserve">CMS MEDICARE PAYMENT INTEGRITY ANALYSIS</w:t>
          </w:r>
        </w:p>
      </w:tc>
      <w:tc>
        <w:tcPr>
          <w:tcW w:type="pct" w:w="30%"/>
          <w:shd w:color="0B7A75" w:val="solid"/>
          <w:tcMar>
            <w:top w:type="dxa" w:w="60"/>
            <w:left w:type="dxa" w:w="120"/>
            <w:bottom w:type="dxa" w:w="60"/>
            <w:right w:type="dxa" w:w="120"/>
          </w:tcMar>
        </w:tcPr>
        <w:p>
          <w:pPr>
            <w:jc w:val="right"/>
          </w:pPr>
          <w:r>
            <w:rPr>
              <w:color w:val="FFFFFF"/>
              <w:sz w:val="16"/>
              <w:szCs w:val="16"/>
            </w:rPr>
            <w:t xml:space="preserve">EXECUTIVE SUMMARY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2026-03-08T10:21:41.964Z</dcterms:created>
  <dcterms:modified xsi:type="dcterms:W3CDTF">2026-03-08T10:21:41.965Z</dcterms:modified>
</cp:coreProperties>
</file>

<file path=docProps/custom.xml><?xml version="1.0" encoding="utf-8"?>
<Properties xmlns="http://schemas.openxmlformats.org/officeDocument/2006/custom-properties" xmlns:vt="http://schemas.openxmlformats.org/officeDocument/2006/docPropsVTypes"/>
</file>