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6D13" w:rsidRDefault="00016D13" w:rsidP="00016D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6D13">
        <w:rPr>
          <w:rFonts w:ascii="Times New Roman" w:hAnsi="Times New Roman" w:cs="Times New Roman"/>
          <w:sz w:val="28"/>
          <w:szCs w:val="28"/>
        </w:rPr>
        <w:t xml:space="preserve">[1] C.-J. Hsiao, E. Hing, and J. Ashman, ‘‘Trends in electronic health record system use among office-based physicians: United states, 2007–2012,’’ Nat. Health Stat. Rep., vol. 75, pp. 1–18, May 2014. </w:t>
      </w:r>
    </w:p>
    <w:p w:rsidR="00016D13" w:rsidRDefault="00016D13" w:rsidP="00016D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6D13">
        <w:rPr>
          <w:rFonts w:ascii="Times New Roman" w:hAnsi="Times New Roman" w:cs="Times New Roman"/>
          <w:sz w:val="28"/>
          <w:szCs w:val="28"/>
        </w:rPr>
        <w:t xml:space="preserve">[2] R. Smith-Bindman et al., ‘‘Use of diagnostic imaging studies and associated radiation exposure for patients enrolled in large integrated health care systems, 1996–2010,’’ JAMA, vol. 307, no. 22, pp. 2400–2409, 2012. </w:t>
      </w:r>
    </w:p>
    <w:p w:rsidR="00016D13" w:rsidRDefault="00016D13" w:rsidP="00016D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6D13">
        <w:rPr>
          <w:rFonts w:ascii="Times New Roman" w:hAnsi="Times New Roman" w:cs="Times New Roman"/>
          <w:sz w:val="28"/>
          <w:szCs w:val="28"/>
        </w:rPr>
        <w:t xml:space="preserve">[3] E. H. Shortliffe, Computer-Based Medical Consultations: MYCIN, vol. 2. New York, NY, USA: Elsevier, 1976. </w:t>
      </w:r>
    </w:p>
    <w:p w:rsidR="00016D13" w:rsidRDefault="00016D13" w:rsidP="00016D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6D13">
        <w:rPr>
          <w:rFonts w:ascii="Times New Roman" w:hAnsi="Times New Roman" w:cs="Times New Roman"/>
          <w:sz w:val="28"/>
          <w:szCs w:val="28"/>
        </w:rPr>
        <w:t xml:space="preserve">[4] G. Litjens et al. (Jun. 2017). ‘‘A survey on deep learning in medical image analysis.’’ [Online]. Available: </w:t>
      </w:r>
      <w:hyperlink r:id="rId4" w:history="1">
        <w:r w:rsidRPr="00617A4F">
          <w:rPr>
            <w:rStyle w:val="Hyperlink"/>
            <w:rFonts w:ascii="Times New Roman" w:hAnsi="Times New Roman" w:cs="Times New Roman"/>
            <w:sz w:val="28"/>
            <w:szCs w:val="28"/>
          </w:rPr>
          <w:t>https://arxiv.org/abs/1702.05747</w:t>
        </w:r>
      </w:hyperlink>
      <w:r w:rsidRPr="00016D1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16D13" w:rsidRDefault="00016D13" w:rsidP="00016D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6D13">
        <w:rPr>
          <w:rFonts w:ascii="Times New Roman" w:hAnsi="Times New Roman" w:cs="Times New Roman"/>
          <w:sz w:val="28"/>
          <w:szCs w:val="28"/>
        </w:rPr>
        <w:t xml:space="preserve">[5] W. S. McCulloch and W. Pitts, ‘‘A logical calculus of the ideas immanent in nervous activity,’’ Bull. Math. Biol., vol. 5, nos. 4, pp. 115–133, 1943. </w:t>
      </w:r>
    </w:p>
    <w:p w:rsidR="00016D13" w:rsidRDefault="00016D13" w:rsidP="00016D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6D13">
        <w:rPr>
          <w:rFonts w:ascii="Times New Roman" w:hAnsi="Times New Roman" w:cs="Times New Roman"/>
          <w:sz w:val="28"/>
          <w:szCs w:val="28"/>
        </w:rPr>
        <w:t>[6] F. Rosenblatt, ‘‘The perceptron: A probabilistic model for information storage and organization in the brain,’’ Psychol. Rev., vol</w:t>
      </w:r>
      <w:r>
        <w:rPr>
          <w:rFonts w:ascii="Times New Roman" w:hAnsi="Times New Roman" w:cs="Times New Roman"/>
          <w:sz w:val="28"/>
          <w:szCs w:val="28"/>
        </w:rPr>
        <w:t>. 65, no. 6, pp. 365–386, 1958.</w:t>
      </w:r>
    </w:p>
    <w:p w:rsidR="00016D13" w:rsidRDefault="00016D13" w:rsidP="00016D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6D13">
        <w:rPr>
          <w:rFonts w:ascii="Times New Roman" w:hAnsi="Times New Roman" w:cs="Times New Roman"/>
          <w:sz w:val="28"/>
          <w:szCs w:val="28"/>
        </w:rPr>
        <w:t xml:space="preserve">[7] D. H. Hubel and T. N. Wiesel, ‘‘Receptive fields, binocular interaction and functional architecture in the cat’s visual cortex,’’ J. Physiol., vol. 160, no. 1, pp. 106–154, 1962. </w:t>
      </w:r>
    </w:p>
    <w:p w:rsidR="00016D13" w:rsidRDefault="00016D13" w:rsidP="00016D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6D13">
        <w:rPr>
          <w:rFonts w:ascii="Times New Roman" w:hAnsi="Times New Roman" w:cs="Times New Roman"/>
          <w:sz w:val="28"/>
          <w:szCs w:val="28"/>
        </w:rPr>
        <w:t xml:space="preserve">[8] K. Fukushima and S. Miyake, ‘‘Neocognitron: A self-organizing neural network model for a mechanism of visual pattern recognition,’’ in Competition and Cooperation in Neural Nets. Berlin, Germany: Springer, 1982, pp. 267–285. </w:t>
      </w:r>
    </w:p>
    <w:p w:rsidR="00016D13" w:rsidRDefault="00016D13" w:rsidP="00016D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6D13">
        <w:rPr>
          <w:rFonts w:ascii="Times New Roman" w:hAnsi="Times New Roman" w:cs="Times New Roman"/>
          <w:sz w:val="28"/>
          <w:szCs w:val="28"/>
        </w:rPr>
        <w:t xml:space="preserve">[9] Y. LeCun et al., ‘‘Backpropagation applied to handwritten zip code recognition,’’ Neural Comput., vol. 1, no. 4, pp. 541–551, 1989. </w:t>
      </w:r>
    </w:p>
    <w:p w:rsidR="00016D13" w:rsidRDefault="00016D13" w:rsidP="00016D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6D13">
        <w:rPr>
          <w:rFonts w:ascii="Times New Roman" w:hAnsi="Times New Roman" w:cs="Times New Roman"/>
          <w:sz w:val="28"/>
          <w:szCs w:val="28"/>
        </w:rPr>
        <w:lastRenderedPageBreak/>
        <w:t xml:space="preserve">[10] D. E. Rumelhart, G. E. Hinton, and R. J. Williams, ‘‘Learning representations by back-propagating errors,’’ Nature, vol. 323, pp. 533–536, Oct. 1986. </w:t>
      </w:r>
    </w:p>
    <w:p w:rsidR="00016D13" w:rsidRDefault="00016D13" w:rsidP="00016D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6D13">
        <w:rPr>
          <w:rFonts w:ascii="Times New Roman" w:hAnsi="Times New Roman" w:cs="Times New Roman"/>
          <w:sz w:val="28"/>
          <w:szCs w:val="28"/>
        </w:rPr>
        <w:t xml:space="preserve">[11] A. Krizhevsky, I. Sutskever, and G. E. Hinton, ‘‘ImageNet classification with deep convolutional neural networks,’’ in Proc. Adv. Neural Inf. Process. Syst., 2012, pp. 1097–1105. </w:t>
      </w:r>
    </w:p>
    <w:p w:rsidR="00016D13" w:rsidRDefault="00016D13" w:rsidP="00016D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6D13">
        <w:rPr>
          <w:rFonts w:ascii="Times New Roman" w:hAnsi="Times New Roman" w:cs="Times New Roman"/>
          <w:sz w:val="28"/>
          <w:szCs w:val="28"/>
        </w:rPr>
        <w:t xml:space="preserve">[12] D. Shen, G. Wu, and H.-I. Suk, ‘‘Deep learning in medical image analysis,’’ Annu. Rev. Biomed. Eng., vol. 19, pp. 221–248, Mar. 2017. </w:t>
      </w:r>
    </w:p>
    <w:p w:rsidR="00016D13" w:rsidRDefault="00016D13" w:rsidP="00016D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6D13">
        <w:rPr>
          <w:rFonts w:ascii="Times New Roman" w:hAnsi="Times New Roman" w:cs="Times New Roman"/>
          <w:sz w:val="28"/>
          <w:szCs w:val="28"/>
        </w:rPr>
        <w:t xml:space="preserve">[13] K. Suzuki, ‘‘Overview of deep learning in medical imaging,’’ Radiol. Phys. Technol., vol. 10, no. 3, pp. 257–273, 2017. </w:t>
      </w:r>
    </w:p>
    <w:p w:rsidR="00016D13" w:rsidRDefault="00016D13" w:rsidP="00016D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6D13">
        <w:rPr>
          <w:rFonts w:ascii="Times New Roman" w:hAnsi="Times New Roman" w:cs="Times New Roman"/>
          <w:sz w:val="28"/>
          <w:szCs w:val="28"/>
        </w:rPr>
        <w:t xml:space="preserve">[14] H. Greenspan, B. van Ginneken, and R. M. Summers, ‘‘Guest editorial deep learning in medical imaging: Overview and future promise of an exciting new technique,’’ IEEE Trans. Med. Imag., vol. 35, </w:t>
      </w:r>
      <w:r>
        <w:rPr>
          <w:rFonts w:ascii="Times New Roman" w:hAnsi="Times New Roman" w:cs="Times New Roman"/>
          <w:sz w:val="28"/>
          <w:szCs w:val="28"/>
        </w:rPr>
        <w:t>no. 5, pp. 1153–1159, May 2016.</w:t>
      </w:r>
    </w:p>
    <w:p w:rsidR="00016D13" w:rsidRDefault="00016D13" w:rsidP="00016D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6D13">
        <w:rPr>
          <w:rFonts w:ascii="Times New Roman" w:hAnsi="Times New Roman" w:cs="Times New Roman"/>
          <w:sz w:val="28"/>
          <w:szCs w:val="28"/>
        </w:rPr>
        <w:t xml:space="preserve">[15] D. Adams. (2017). Publish or Perish 5. Accessed: Oct. 30, 2017. [Online]. Available: </w:t>
      </w:r>
      <w:hyperlink r:id="rId5" w:history="1">
        <w:r w:rsidRPr="00617A4F">
          <w:rPr>
            <w:rStyle w:val="Hyperlink"/>
            <w:rFonts w:ascii="Times New Roman" w:hAnsi="Times New Roman" w:cs="Times New Roman"/>
            <w:sz w:val="28"/>
            <w:szCs w:val="28"/>
          </w:rPr>
          <w:t>https://harzing.com/resources/publish-or-perish/windows</w:t>
        </w:r>
      </w:hyperlink>
      <w:r w:rsidRPr="00016D1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16D13" w:rsidRDefault="00016D13" w:rsidP="00016D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6D13">
        <w:rPr>
          <w:rFonts w:ascii="Times New Roman" w:hAnsi="Times New Roman" w:cs="Times New Roman"/>
          <w:sz w:val="28"/>
          <w:szCs w:val="28"/>
        </w:rPr>
        <w:t xml:space="preserve">[16] K. Clark et al., ‘‘The cancer imaging archive (TCIA): Maintaining and operating a public information repository,’’ J. Digit. Imag., vol. 26, no. 6, pp. 1045–1057, 2013. </w:t>
      </w:r>
    </w:p>
    <w:p w:rsidR="00016D13" w:rsidRDefault="00016D13" w:rsidP="00016D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6D13">
        <w:rPr>
          <w:rFonts w:ascii="Times New Roman" w:hAnsi="Times New Roman" w:cs="Times New Roman"/>
          <w:sz w:val="28"/>
          <w:szCs w:val="28"/>
        </w:rPr>
        <w:t xml:space="preserve">[17] X. Wang, Y. Peng, L. Lu, Z. Lu, M. Bagheri, and R. M. Summers. (Dec. 2017). ‘‘ChestX-ray8: Hospital-scale chest X-ray database and benchmarks on weakly-supervised classification and localization of common thorax diseases.’’ [Online]. Available: </w:t>
      </w:r>
      <w:hyperlink r:id="rId6" w:history="1">
        <w:r w:rsidRPr="00617A4F">
          <w:rPr>
            <w:rStyle w:val="Hyperlink"/>
            <w:rFonts w:ascii="Times New Roman" w:hAnsi="Times New Roman" w:cs="Times New Roman"/>
            <w:sz w:val="28"/>
            <w:szCs w:val="28"/>
          </w:rPr>
          <w:t>https://arxiv.org/abs/1705. 02315</w:t>
        </w:r>
      </w:hyperlink>
      <w:r w:rsidRPr="00016D1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16D13" w:rsidRDefault="00016D13" w:rsidP="00016D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6D13">
        <w:rPr>
          <w:rFonts w:ascii="Times New Roman" w:hAnsi="Times New Roman" w:cs="Times New Roman"/>
          <w:sz w:val="28"/>
          <w:szCs w:val="28"/>
        </w:rPr>
        <w:t xml:space="preserve">[18] E. Gibson et al. (Oct. 2017). ‘‘NiftyNet: A deep-learning platform for medical imaging.’’ [Online]. Available: </w:t>
      </w:r>
      <w:hyperlink r:id="rId7" w:history="1">
        <w:r w:rsidRPr="00617A4F">
          <w:rPr>
            <w:rStyle w:val="Hyperlink"/>
            <w:rFonts w:ascii="Times New Roman" w:hAnsi="Times New Roman" w:cs="Times New Roman"/>
            <w:sz w:val="28"/>
            <w:szCs w:val="28"/>
          </w:rPr>
          <w:t>https://arxiv.org/abs/1709.03485</w:t>
        </w:r>
      </w:hyperlink>
      <w:r w:rsidRPr="00016D1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16D13" w:rsidRDefault="00016D13" w:rsidP="00016D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6D13">
        <w:rPr>
          <w:rFonts w:ascii="Times New Roman" w:hAnsi="Times New Roman" w:cs="Times New Roman"/>
          <w:sz w:val="28"/>
          <w:szCs w:val="28"/>
        </w:rPr>
        <w:lastRenderedPageBreak/>
        <w:t xml:space="preserve">[19] O. Ronneberger, P. Fischer, and T. Brox, ‘‘U-net: Convolutional networks for biomedical image segmentation,’’ in Proc. Int. Conf. Med. Image Comput. Comput.-Assist. Intervent., 2015, pp. 234–241. </w:t>
      </w:r>
    </w:p>
    <w:p w:rsidR="00016D13" w:rsidRDefault="00016D13" w:rsidP="00016D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6D13">
        <w:rPr>
          <w:rFonts w:ascii="Times New Roman" w:hAnsi="Times New Roman" w:cs="Times New Roman"/>
          <w:sz w:val="28"/>
          <w:szCs w:val="28"/>
        </w:rPr>
        <w:t xml:space="preserve">[20] F. Milletari, N. Navab, and S.-A. Ahmadi, ‘‘V-net: Fully convolutional neural networks for volumetric medical image segmentation,’’ in Proc. 4th Int. Conf. 3D Vis. (3DV), Oct. 2016, pp. 565–571. </w:t>
      </w:r>
    </w:p>
    <w:p w:rsidR="00016D13" w:rsidRDefault="00016D13" w:rsidP="00016D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6D13">
        <w:rPr>
          <w:rFonts w:ascii="Times New Roman" w:hAnsi="Times New Roman" w:cs="Times New Roman"/>
          <w:sz w:val="28"/>
          <w:szCs w:val="28"/>
        </w:rPr>
        <w:t xml:space="preserve">[21] K. Kamnitsas et al., ‘‘Efficient multi-scale 3D CNN with fully connected CRF for accurate brain lesion segmentation,’’ Med. Image Anal., vol. 36, pp. 61–78, Feb. 2017. </w:t>
      </w:r>
    </w:p>
    <w:p w:rsidR="00FE74C3" w:rsidRPr="00016D13" w:rsidRDefault="00016D13" w:rsidP="00016D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6D13">
        <w:rPr>
          <w:rFonts w:ascii="Times New Roman" w:hAnsi="Times New Roman" w:cs="Times New Roman"/>
          <w:sz w:val="28"/>
          <w:szCs w:val="28"/>
        </w:rPr>
        <w:t>[22] I. Goodfellow, Y. Bengio, and A. Courville, Deep Learning. Cambridge, MA, USA: MIT Press, 2016.</w:t>
      </w:r>
    </w:p>
    <w:sectPr w:rsidR="00FE74C3" w:rsidRPr="00016D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016D13"/>
    <w:rsid w:val="00016D13"/>
    <w:rsid w:val="00FE74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16D13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arxiv.org/abs/1709.03485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rxiv.org/abs/1705.%2002315" TargetMode="External"/><Relationship Id="rId5" Type="http://schemas.openxmlformats.org/officeDocument/2006/relationships/hyperlink" Target="https://harzing.com/resources/publish-or-perish/windows" TargetMode="External"/><Relationship Id="rId4" Type="http://schemas.openxmlformats.org/officeDocument/2006/relationships/hyperlink" Target="https://arxiv.org/abs/1702.05747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604</Words>
  <Characters>3443</Characters>
  <Application>Microsoft Office Word</Application>
  <DocSecurity>0</DocSecurity>
  <Lines>28</Lines>
  <Paragraphs>8</Paragraphs>
  <ScaleCrop>false</ScaleCrop>
  <Company/>
  <LinksUpToDate>false</LinksUpToDate>
  <CharactersWithSpaces>4039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</dc:creator>
  <cp:keywords/>
  <dc:description/>
  <cp:lastModifiedBy>Ram</cp:lastModifiedBy>
  <cp:revision>2</cp:revision>
  <dcterms:created xsi:type="dcterms:W3CDTF">2021-04-07T14:54:00Z</dcterms:created>
  <dcterms:modified xsi:type="dcterms:W3CDTF">2021-04-07T14:56:00Z</dcterms:modified>
</cp:coreProperties>
</file>