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Zentrix Corp Quarterly Sales</w:t>
      </w:r>
    </w:p>
    <w:p>
      <w:pPr>
        <w:spacing w:after="120"/>
      </w:pPr>
      <w:r>
        <w:t xml:space="preserve">The table below shows regional sales. The Q3 2026 header spans two month columns, and Region and Sales span two header rows.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200"/>
        <w:gridCol w:w="2100"/>
        <w:gridCol w:w="2100"/>
      </w:tblGrid>
      <w:tr>
        <w:tc>
          <w:tcPr>
            <w:tcW w:type="dxa" w:w="262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2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Sales (₹)</w:t>
            </w:r>
          </w:p>
        </w:tc>
        <w:tc>
          <w:tcPr>
            <w:tcW w:type="dxa" w:w="4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Q3 2026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July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August</w:t>
            </w:r>
          </w:p>
        </w:tc>
      </w:tr>
      <w:tr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Bengaluru Office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48,213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15,400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16,050</w:t>
            </w:r>
          </w:p>
        </w:tc>
      </w:tr>
      <w:tr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Mumbai Office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39,870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12,900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13,300</w:t>
            </w:r>
          </w:p>
        </w:tc>
      </w:tr>
      <w:tr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Delhi Office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27,645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9,100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9,200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Prepared by the Zentrix finance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2026-10-12T06:10:37.905Z</dcterms:created>
  <dcterms:modified xsi:type="dcterms:W3CDTF">2026-10-12T06:10:37.905Z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