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StreamSync — Product Specification v2.3</w:t>
      </w:r>
    </w:p>
    <w:p>
      <w:pPr>
        <w:spacing w:after="150"/>
      </w:pPr>
    </w:p>
    <w:p>
      <w:pPr>
        <w:pStyle w:val="Heading2"/>
      </w:pPr>
      <w:r>
        <w:t xml:space="preserve">Overview</w:t>
      </w:r>
    </w:p>
    <w:p>
      <w:pPr>
        <w:spacing w:after="200"/>
      </w:pPr>
      <w:r>
        <w:rPr>
          <w:sz w:val="22"/>
          <w:szCs w:val="22"/>
        </w:rPr>
        <w:t xml:space="preserve">StreamSync is a real-time data synchronization tool for e-commerce inventory. Version 2.3 introduces multi-region replication and a redesigned conflict resolution engine that reduces sync latency by roughly 40%.</w:t>
      </w:r>
    </w:p>
    <w:p>
      <w:pPr>
        <w:pStyle w:val="Heading2"/>
      </w:pPr>
      <w:r>
        <w:t xml:space="preserve">Key Features</w:t>
      </w:r>
    </w:p>
    <w:p>
      <w:pPr>
        <w:spacing w:after="200"/>
      </w:pPr>
      <w:r>
        <w:rPr>
          <w:sz w:val="22"/>
          <w:szCs w:val="22"/>
        </w:rPr>
        <w:t xml:space="preserve">Multi-region active-active replication, automatic conflict resolution using last-write-wins with manual override, webhook-based change notifications, and a REST + GraphQL dual API surface.</w:t>
      </w:r>
    </w:p>
    <w:p>
      <w:pPr>
        <w:pStyle w:val="Heading2"/>
      </w:pPr>
      <w:r>
        <w:t xml:space="preserve">Pricing Tiers</w:t>
      </w:r>
    </w:p>
    <w:p>
      <w:pPr>
        <w:spacing w:after="100"/>
      </w:pP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900"/>
        <w:gridCol w:w="2800"/>
      </w:tblGrid>
      <w:tr>
        <w:tc>
          <w:tcPr>
            <w:tcW w:type="dxa" w:w="1900"/>
            <w:shd w:fill="1A3C6E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shd w:fill="1A3C6E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Price/mo</w:t>
            </w:r>
          </w:p>
        </w:tc>
        <w:tc>
          <w:tcPr>
            <w:tcW w:type="dxa" w:w="1900"/>
            <w:shd w:fill="1A3C6E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Sync Regions</w:t>
            </w:r>
          </w:p>
        </w:tc>
        <w:tc>
          <w:tcPr>
            <w:tcW w:type="dxa" w:w="2800"/>
            <w:shd w:fill="1A3C6E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Support</w:t>
            </w:r>
          </w:p>
        </w:tc>
      </w:tr>
      <w:t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$0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Community</w:t>
            </w:r>
          </w:p>
        </w:tc>
      </w:tr>
      <w:t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Pro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$29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Email (24h)</w:t>
            </w:r>
          </w:p>
        </w:tc>
      </w:tr>
      <w:tr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Enterprise</w:t>
            </w:r>
          </w:p>
        </w:tc>
        <w:tc>
          <w:tcPr>
            <w:tcW w:type="dxa" w:w="1600"/>
          </w:tcPr>
          <w:p>
            <w:r>
              <w:rPr>
                <w:sz w:val="20"/>
                <w:szCs w:val="20"/>
              </w:rPr>
              <w:t xml:space="preserve">$149</w:t>
            </w:r>
          </w:p>
        </w:tc>
        <w:tc>
          <w:tcPr>
            <w:tcW w:type="dxa" w:w="1900"/>
          </w:tcPr>
          <w:p>
            <w:r>
              <w:rPr>
                <w:sz w:val="20"/>
                <w:szCs w:val="20"/>
              </w:rPr>
              <w:t xml:space="preserve">Unlimited</w:t>
            </w:r>
          </w:p>
        </w:tc>
        <w:tc>
          <w:tcPr>
            <w:tcW w:type="dxa" w:w="2800"/>
          </w:tcPr>
          <w:p>
            <w:r>
              <w:rPr>
                <w:sz w:val="20"/>
                <w:szCs w:val="20"/>
              </w:rPr>
              <w:t xml:space="preserve">Dedicated Slack + phone</w:t>
            </w:r>
          </w:p>
        </w:tc>
      </w:tr>
    </w:tbl>
    <w:p>
      <w:pPr>
        <w:spacing w:after="200"/>
      </w:pPr>
    </w:p>
    <w:p>
      <w:r>
        <w:drawing>
          <wp:inline distT="0" distB="0" distL="0" distR="0">
            <wp:extent cx="36195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 xml:space="preserve">Release Timeline</w:t>
      </w:r>
    </w:p>
    <w:p>
      <w:r>
        <w:rPr>
          <w:sz w:val="22"/>
          <w:szCs w:val="22"/>
        </w:rPr>
        <w:t xml:space="preserve">Beta released March 2026 to 50 design-partner accounts. General availability targeted for August 2026, followed by an Enterprise SOC 2 compliance addendum in Q4 2026. A mobile SDK is planned for early 2027 but is not yet scoped.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c8c94de7788dcc0fcbae11fcb4955098b1a0f4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2026-09-18T08:30:43.085Z</dcterms:created>
  <dcterms:modified xsi:type="dcterms:W3CDTF">2026-09-18T08:30:43.085Z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