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B3A7A"/>
          <w:sz w:val="48"/>
          <w:szCs w:val="48"/>
        </w:rPr>
        <w:t xml:space="preserve">GLOBALCOMPASS</w:t>
      </w:r>
    </w:p>
    <w:p>
      <w:pPr>
        <w:spacing w:after="20" w:before="20"/>
        <w:jc w:val="center"/>
      </w:pPr>
      <w:r>
        <w:rPr>
          <w:rFonts w:ascii="Arial" w:cs="Arial" w:eastAsia="Arial" w:hAnsi="Arial"/>
          <w:b/>
          <w:bCs/>
          <w:color w:val="0D1F4A"/>
          <w:sz w:val="28"/>
          <w:szCs w:val="28"/>
        </w:rPr>
        <w:t xml:space="preserve">PRODUCT ROADMAP 2026-2028</w:t>
      </w:r>
    </w:p>
    <w:p>
      <w:pPr>
        <w:spacing w:after="20" w:before="10"/>
        <w:jc w:val="center"/>
      </w:pPr>
      <w:r>
        <w:rPr>
          <w:rFonts w:ascii="Arial" w:cs="Arial" w:eastAsia="Arial" w:hAnsi="Arial"/>
          <w:color w:val="4A6FA5"/>
          <w:sz w:val="22"/>
          <w:szCs w:val="22"/>
        </w:rPr>
        <w:t xml:space="preserve">Founder: Susselt | globalcompass.education | June 2026 | Confidential</w:t>
      </w:r>
    </w:p>
    <w:p>
      <w:r>
        <w:br w:type="page"/>
      </w:r>
    </w:p>
    <w:p>
      <w:pPr>
        <w:pStyle w:val="Heading1"/>
        <w:pBdr>
          <w:bottom w:val="single" w:color="1B3A7A" w:sz="4" w:space="6"/>
        </w:pBdr>
        <w:spacing w:after="160" w:before="360"/>
      </w:pPr>
      <w:r>
        <w:rPr>
          <w:rFonts w:ascii="Arial" w:cs="Arial" w:eastAsia="Arial" w:hAnsi="Arial"/>
          <w:b/>
          <w:bCs/>
          <w:color w:val="1B3A7A"/>
          <w:sz w:val="28"/>
          <w:szCs w:val="28"/>
        </w:rPr>
        <w:t xml:space="preserve">1. Live Today — June 2026</w:t>
      </w:r>
    </w:p>
    <w:p>
      <w:pPr>
        <w:pBdr>
          <w:left w:val="single" w:color="1B3A7A" w:sz="6" w:space="8"/>
        </w:pBdr>
        <w:shd w:fill="EEF3FF" w:val="clear"/>
        <w:spacing w:after="100" w:before="100"/>
        <w:ind w:left="360"/>
      </w:pPr>
      <w:r>
        <w:rPr>
          <w:rFonts w:ascii="Arial" w:cs="Arial" w:eastAsia="Arial" w:hAnsi="Arial"/>
          <w:color w:val="0D1F4A"/>
          <w:sz w:val="22"/>
          <w:szCs w:val="22"/>
        </w:rPr>
        <w:t xml:space="preserve">12 AI-powered tools live at globalcompass.education covering early years through final years across 9 curriculum systems.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0D0E8" w:sz="1"/>
              <w:left w:val="single" w:color="C0D0E8" w:sz="1"/>
              <w:bottom w:val="single" w:color="C0D0E8" w:sz="1"/>
              <w:right w:val="single" w:color="C0D0E8" w:sz="1"/>
            </w:tcBorders>
            <w:shd w:fill="1B3A7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Borders>
              <w:top w:val="single" w:color="C0D0E8" w:sz="1"/>
              <w:left w:val="single" w:color="C0D0E8" w:sz="1"/>
              <w:bottom w:val="single" w:color="C0D0E8" w:sz="1"/>
              <w:right w:val="single" w:color="C0D0E8" w:sz="1"/>
            </w:tcBorders>
            <w:shd w:fill="1B3A7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Landing Page + Waitlist connected to email</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Live</w:t>
            </w:r>
          </w:p>
        </w:tc>
      </w:tr>
      <w:tr>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Curriculum Quiz</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Live</w:t>
            </w:r>
          </w:p>
        </w:tc>
      </w:tr>
      <w:tr>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Nursery Compass — UAE Early Years</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Live</w:t>
            </w:r>
          </w:p>
        </w:tc>
      </w:tr>
      <w:tr>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Career Simulator — British A-Levels</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Live</w:t>
            </w:r>
          </w:p>
        </w:tc>
      </w:tr>
      <w:tr>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IB Pathway Navigator — Global 180 countries</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Live</w:t>
            </w:r>
          </w:p>
        </w:tc>
      </w:tr>
      <w:tr>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American AP and SAT Navigator</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Live</w:t>
            </w:r>
          </w:p>
        </w:tc>
      </w:tr>
      <w:tr>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CBSE Stream Navigator — Indian curriculum</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Live</w:t>
            </w:r>
          </w:p>
        </w:tc>
      </w:tr>
      <w:tr>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French Bac Specialites Navigator</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Live</w:t>
            </w:r>
          </w:p>
        </w:tc>
      </w:tr>
      <w:tr>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Singapore Pathway Navigator</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Live</w:t>
            </w:r>
          </w:p>
        </w:tc>
      </w:tr>
      <w:tr>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German Abitur Navigator</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Live</w:t>
            </w:r>
          </w:p>
        </w:tc>
      </w:tr>
      <w:tr>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Australian VCE Navigator</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Live</w:t>
            </w:r>
          </w:p>
        </w:tc>
      </w:tr>
      <w:tr>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Brazilian ENEM Navigator</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Live</w:t>
            </w:r>
          </w:p>
        </w:tc>
      </w:tr>
    </w:tbl>
    <w:p>
      <w:pPr>
        <w:spacing w:after="80" w:before="80"/>
      </w:pPr>
      <w:r>
        <w:t xml:space="preserve"/>
      </w:r>
    </w:p>
    <w:p>
      <w:pPr>
        <w:pStyle w:val="Heading1"/>
        <w:pBdr>
          <w:bottom w:val="single" w:color="1B3A7A" w:sz="4" w:space="6"/>
        </w:pBdr>
        <w:spacing w:after="160" w:before="360"/>
      </w:pPr>
      <w:r>
        <w:rPr>
          <w:rFonts w:ascii="Arial" w:cs="Arial" w:eastAsia="Arial" w:hAnsi="Arial"/>
          <w:b/>
          <w:bCs/>
          <w:color w:val="1B3A7A"/>
          <w:sz w:val="28"/>
          <w:szCs w:val="28"/>
        </w:rPr>
        <w:t xml:space="preserve">2. Phase 1 — Completing the Foundation (July to September 2026)</w:t>
      </w:r>
    </w:p>
    <w:p>
      <w:pPr>
        <w:pStyle w:val="Heading2"/>
        <w:spacing w:after="120" w:before="240"/>
      </w:pPr>
      <w:r>
        <w:rPr>
          <w:rFonts w:ascii="Arial" w:cs="Arial" w:eastAsia="Arial" w:hAnsi="Arial"/>
          <w:b/>
          <w:bCs/>
          <w:color w:val="0D1F4A"/>
          <w:sz w:val="24"/>
          <w:szCs w:val="24"/>
        </w:rPr>
        <w:t xml:space="preserve">School data and payments</w:t>
      </w:r>
    </w:p>
    <w:p>
      <w:pPr>
        <w:pStyle w:val="ListParagraph"/>
        <w:numPr>
          <w:ilvl w:val="0"/>
          <w:numId w:val="2"/>
        </w:numPr>
        <w:spacing w:after="60" w:before="60"/>
      </w:pPr>
      <w:r>
        <w:rPr>
          <w:rFonts w:ascii="Arial" w:cs="Arial" w:eastAsia="Arial" w:hAnsi="Arial"/>
          <w:color w:val="0D1F4A"/>
          <w:sz w:val="22"/>
          <w:szCs w:val="22"/>
        </w:rPr>
        <w:t xml:space="preserve">Add first 100 UAE schools to Supabase database across all curricula</w:t>
      </w:r>
    </w:p>
    <w:p>
      <w:pPr>
        <w:pStyle w:val="ListParagraph"/>
        <w:numPr>
          <w:ilvl w:val="0"/>
          <w:numId w:val="2"/>
        </w:numPr>
        <w:spacing w:after="60" w:before="60"/>
      </w:pPr>
      <w:r>
        <w:rPr>
          <w:rFonts w:ascii="Arial" w:cs="Arial" w:eastAsia="Arial" w:hAnsi="Arial"/>
          <w:color w:val="0D1F4A"/>
          <w:sz w:val="22"/>
          <w:szCs w:val="22"/>
        </w:rPr>
        <w:t xml:space="preserve">Connect Stripe for Pro subscription at USD 9.99 per month</w:t>
      </w:r>
    </w:p>
    <w:p>
      <w:pPr>
        <w:pStyle w:val="ListParagraph"/>
        <w:numPr>
          <w:ilvl w:val="0"/>
          <w:numId w:val="2"/>
        </w:numPr>
        <w:spacing w:after="60" w:before="60"/>
      </w:pPr>
      <w:r>
        <w:rPr>
          <w:rFonts w:ascii="Arial" w:cs="Arial" w:eastAsia="Arial" w:hAnsi="Arial"/>
          <w:color w:val="0D1F4A"/>
          <w:sz w:val="22"/>
          <w:szCs w:val="22"/>
        </w:rPr>
        <w:t xml:space="preserve">Connect waitlist to Supabase database with admin dashboard</w:t>
      </w:r>
    </w:p>
    <w:p>
      <w:pPr>
        <w:pStyle w:val="ListParagraph"/>
        <w:numPr>
          <w:ilvl w:val="0"/>
          <w:numId w:val="2"/>
        </w:numPr>
        <w:spacing w:after="60" w:before="60"/>
      </w:pPr>
      <w:r>
        <w:rPr>
          <w:rFonts w:ascii="Arial" w:cs="Arial" w:eastAsia="Arial" w:hAnsi="Arial"/>
          <w:color w:val="0D1F4A"/>
          <w:sz w:val="22"/>
          <w:szCs w:val="22"/>
        </w:rPr>
        <w:t xml:space="preserve">UAE Trade Licence when first revenue flows — approx AED 10,000 to 15,000</w:t>
      </w:r>
    </w:p>
    <w:p>
      <w:pPr>
        <w:pStyle w:val="ListParagraph"/>
        <w:numPr>
          <w:ilvl w:val="0"/>
          <w:numId w:val="2"/>
        </w:numPr>
        <w:spacing w:after="60" w:before="60"/>
      </w:pPr>
      <w:r>
        <w:rPr>
          <w:rFonts w:ascii="Arial" w:cs="Arial" w:eastAsia="Arial" w:hAnsi="Arial"/>
          <w:color w:val="0D1F4A"/>
          <w:sz w:val="22"/>
          <w:szCs w:val="22"/>
        </w:rPr>
        <w:t xml:space="preserve">CBSE Hindi language version — Phase 2 priority</w:t>
      </w:r>
    </w:p>
    <w:p>
      <w:pPr>
        <w:spacing w:after="80" w:before="80"/>
      </w:pPr>
      <w:r>
        <w:t xml:space="preserve"/>
      </w:r>
    </w:p>
    <w:p>
      <w:pPr>
        <w:pStyle w:val="Heading1"/>
        <w:pBdr>
          <w:bottom w:val="single" w:color="1B3A7A" w:sz="4" w:space="6"/>
        </w:pBdr>
        <w:spacing w:after="160" w:before="360"/>
      </w:pPr>
      <w:r>
        <w:rPr>
          <w:rFonts w:ascii="Arial" w:cs="Arial" w:eastAsia="Arial" w:hAnsi="Arial"/>
          <w:b/>
          <w:bCs/>
          <w:color w:val="1B3A7A"/>
          <w:sz w:val="28"/>
          <w:szCs w:val="28"/>
        </w:rPr>
        <w:t xml:space="preserve">3. Phase 2 — The Academic Passport (Q4 2026)</w:t>
      </w:r>
    </w:p>
    <w:p>
      <w:pPr>
        <w:pBdr>
          <w:left w:val="single" w:color="1B3A7A" w:sz="6" w:space="8"/>
        </w:pBdr>
        <w:shd w:fill="EEF3FF" w:val="clear"/>
        <w:spacing w:after="100" w:before="100"/>
        <w:ind w:left="360"/>
      </w:pPr>
      <w:r>
        <w:rPr>
          <w:rFonts w:ascii="Arial" w:cs="Arial" w:eastAsia="Arial" w:hAnsi="Arial"/>
          <w:color w:val="0D1F4A"/>
          <w:sz w:val="22"/>
          <w:szCs w:val="22"/>
        </w:rPr>
        <w:t xml:space="preserve">The Academic Passport transforms GlobalCompass from a guidance tool into a daily-use platform. It is the LinkedIn of education — a student-owned private academic identity layer that travels with the student through their final years and is permanently deleted when they go to university.</w:t>
      </w:r>
    </w:p>
    <w:p>
      <w:pPr>
        <w:spacing w:after="80" w:before="80"/>
      </w:pPr>
      <w:r>
        <w:t xml:space="preserve"/>
      </w:r>
    </w:p>
    <w:p>
      <w:pPr>
        <w:pStyle w:val="Heading2"/>
        <w:spacing w:after="120" w:before="240"/>
      </w:pPr>
      <w:r>
        <w:rPr>
          <w:rFonts w:ascii="Arial" w:cs="Arial" w:eastAsia="Arial" w:hAnsi="Arial"/>
          <w:b/>
          <w:bCs/>
          <w:color w:val="0D1F4A"/>
          <w:sz w:val="24"/>
          <w:szCs w:val="24"/>
        </w:rPr>
        <w:t xml:space="preserve">What is the Academic Passport</w:t>
      </w:r>
    </w:p>
    <w:p>
      <w:pPr>
        <w:spacing w:after="80" w:before="80"/>
      </w:pPr>
      <w:r>
        <w:rPr>
          <w:rFonts w:ascii="Arial" w:cs="Arial" w:eastAsia="Arial" w:hAnsi="Arial"/>
          <w:color w:val="0D1F4A"/>
          <w:sz w:val="22"/>
          <w:szCs w:val="22"/>
        </w:rPr>
        <w:t xml:space="preserve">A private secure curriculum-aware student grade tracker that stores all examination results, computes what grades are still needed for target universities, flags which subjects need more attention, and permanently deletes all data when the student confirms university acceptance.</w:t>
      </w:r>
    </w:p>
    <w:p>
      <w:pPr>
        <w:spacing w:after="80" w:before="80"/>
      </w:pPr>
      <w:r>
        <w:t xml:space="preserve"/>
      </w:r>
    </w:p>
    <w:p>
      <w:pPr>
        <w:pStyle w:val="Heading2"/>
        <w:spacing w:after="120" w:before="240"/>
      </w:pPr>
      <w:r>
        <w:rPr>
          <w:rFonts w:ascii="Arial" w:cs="Arial" w:eastAsia="Arial" w:hAnsi="Arial"/>
          <w:b/>
          <w:bCs/>
          <w:color w:val="0D1F4A"/>
          <w:sz w:val="24"/>
          <w:szCs w:val="24"/>
        </w:rPr>
        <w:t xml:space="preserve">Core features</w:t>
      </w:r>
    </w:p>
    <w:p>
      <w:pPr>
        <w:pStyle w:val="ListParagraph"/>
        <w:numPr>
          <w:ilvl w:val="0"/>
          <w:numId w:val="2"/>
        </w:numPr>
        <w:spacing w:after="60" w:before="60"/>
      </w:pPr>
      <w:r>
        <w:rPr>
          <w:rFonts w:ascii="Arial" w:cs="Arial" w:eastAsia="Arial" w:hAnsi="Arial"/>
          <w:color w:val="0D1F4A"/>
          <w:sz w:val="22"/>
          <w:szCs w:val="22"/>
        </w:rPr>
        <w:t xml:space="preserve">Private student profile — visible only to the student, never to teachers, parents or other students</w:t>
      </w:r>
    </w:p>
    <w:p>
      <w:pPr>
        <w:pStyle w:val="ListParagraph"/>
        <w:numPr>
          <w:ilvl w:val="0"/>
          <w:numId w:val="2"/>
        </w:numPr>
        <w:spacing w:after="60" w:before="60"/>
      </w:pPr>
      <w:r>
        <w:rPr>
          <w:rFonts w:ascii="Arial" w:cs="Arial" w:eastAsia="Arial" w:hAnsi="Arial"/>
          <w:color w:val="0D1F4A"/>
          <w:sz w:val="22"/>
          <w:szCs w:val="22"/>
        </w:rPr>
        <w:t xml:space="preserve">Curriculum-aware grade entry — IB, A-Levels, AP, SAT, CBSE, French Bac, Singapore, German Abitur, Australian VCE, Brazilian ENEM in one unified system</w:t>
      </w:r>
    </w:p>
    <w:p>
      <w:pPr>
        <w:pStyle w:val="ListParagraph"/>
        <w:numPr>
          <w:ilvl w:val="0"/>
          <w:numId w:val="2"/>
        </w:numPr>
        <w:spacing w:after="60" w:before="60"/>
      </w:pPr>
      <w:r>
        <w:rPr>
          <w:rFonts w:ascii="Arial" w:cs="Arial" w:eastAsia="Arial" w:hAnsi="Arial"/>
          <w:color w:val="0D1F4A"/>
          <w:sz w:val="22"/>
          <w:szCs w:val="22"/>
        </w:rPr>
        <w:t xml:space="preserve">Target university gap analysis — shows exactly what grades are still needed per university and major</w:t>
      </w:r>
    </w:p>
    <w:p>
      <w:pPr>
        <w:pStyle w:val="ListParagraph"/>
        <w:numPr>
          <w:ilvl w:val="0"/>
          <w:numId w:val="2"/>
        </w:numPr>
        <w:spacing w:after="60" w:before="60"/>
      </w:pPr>
      <w:r>
        <w:rPr>
          <w:rFonts w:ascii="Arial" w:cs="Arial" w:eastAsia="Arial" w:hAnsi="Arial"/>
          <w:color w:val="0D1F4A"/>
          <w:sz w:val="22"/>
          <w:szCs w:val="22"/>
        </w:rPr>
        <w:t xml:space="preserve">Traffic light system — Red Amber Green per subject based on current performance vs target</w:t>
      </w:r>
    </w:p>
    <w:p>
      <w:pPr>
        <w:pStyle w:val="ListParagraph"/>
        <w:numPr>
          <w:ilvl w:val="0"/>
          <w:numId w:val="2"/>
        </w:numPr>
        <w:spacing w:after="60" w:before="60"/>
      </w:pPr>
      <w:r>
        <w:rPr>
          <w:rFonts w:ascii="Arial" w:cs="Arial" w:eastAsia="Arial" w:hAnsi="Arial"/>
          <w:color w:val="0D1F4A"/>
          <w:sz w:val="22"/>
          <w:szCs w:val="22"/>
        </w:rPr>
        <w:t xml:space="preserve">AI subject coaching — personalised advice on which subjects need attention and how to improve</w:t>
      </w:r>
    </w:p>
    <w:p>
      <w:pPr>
        <w:pStyle w:val="ListParagraph"/>
        <w:numPr>
          <w:ilvl w:val="0"/>
          <w:numId w:val="2"/>
        </w:numPr>
        <w:spacing w:after="60" w:before="60"/>
      </w:pPr>
      <w:r>
        <w:rPr>
          <w:rFonts w:ascii="Arial" w:cs="Arial" w:eastAsia="Arial" w:hAnsi="Arial"/>
          <w:color w:val="0D1F4A"/>
          <w:sz w:val="22"/>
          <w:szCs w:val="22"/>
        </w:rPr>
        <w:t xml:space="preserve">Grade trajectory prediction — estimates final grade based on current performance trend</w:t>
      </w:r>
    </w:p>
    <w:p>
      <w:pPr>
        <w:pStyle w:val="ListParagraph"/>
        <w:numPr>
          <w:ilvl w:val="0"/>
          <w:numId w:val="2"/>
        </w:numPr>
        <w:spacing w:after="60" w:before="60"/>
      </w:pPr>
      <w:r>
        <w:rPr>
          <w:rFonts w:ascii="Arial" w:cs="Arial" w:eastAsia="Arial" w:hAnsi="Arial"/>
          <w:color w:val="0D1F4A"/>
          <w:sz w:val="22"/>
          <w:szCs w:val="22"/>
        </w:rPr>
        <w:t xml:space="preserve">Mock exam tracking — record mock results and track improvement over time</w:t>
      </w:r>
    </w:p>
    <w:p>
      <w:pPr>
        <w:pStyle w:val="ListParagraph"/>
        <w:numPr>
          <w:ilvl w:val="0"/>
          <w:numId w:val="2"/>
        </w:numPr>
        <w:spacing w:after="60" w:before="60"/>
      </w:pPr>
      <w:r>
        <w:rPr>
          <w:rFonts w:ascii="Arial" w:cs="Arial" w:eastAsia="Arial" w:hAnsi="Arial"/>
          <w:color w:val="0D1F4A"/>
          <w:sz w:val="22"/>
          <w:szCs w:val="22"/>
        </w:rPr>
        <w:t xml:space="preserve">Exam deadline calendar — exam dates, application deadlines, personal statement submission dates</w:t>
      </w:r>
    </w:p>
    <w:p>
      <w:pPr>
        <w:pStyle w:val="ListParagraph"/>
        <w:numPr>
          <w:ilvl w:val="0"/>
          <w:numId w:val="2"/>
        </w:numPr>
        <w:spacing w:after="60" w:before="60"/>
      </w:pPr>
      <w:r>
        <w:rPr>
          <w:rFonts w:ascii="Arial" w:cs="Arial" w:eastAsia="Arial" w:hAnsi="Arial"/>
          <w:color w:val="0D1F4A"/>
          <w:sz w:val="22"/>
          <w:szCs w:val="22"/>
        </w:rPr>
        <w:t xml:space="preserve">Auto-deletion on graduation — all data permanently deleted 90 days after university confirmation</w:t>
      </w:r>
    </w:p>
    <w:p>
      <w:pPr>
        <w:pStyle w:val="ListParagraph"/>
        <w:numPr>
          <w:ilvl w:val="0"/>
          <w:numId w:val="2"/>
        </w:numPr>
        <w:spacing w:after="60" w:before="60"/>
      </w:pPr>
      <w:r>
        <w:rPr>
          <w:rFonts w:ascii="Arial" w:cs="Arial" w:eastAsia="Arial" w:hAnsi="Arial"/>
          <w:color w:val="0D1F4A"/>
          <w:sz w:val="22"/>
          <w:szCs w:val="22"/>
        </w:rPr>
        <w:t xml:space="preserve">GDPR and UAE data protection compliant — student owns their data completely</w:t>
      </w:r>
    </w:p>
    <w:p>
      <w:pPr>
        <w:spacing w:after="80" w:before="80"/>
      </w:pPr>
      <w:r>
        <w:t xml:space="preserve"/>
      </w:r>
    </w:p>
    <w:p>
      <w:pPr>
        <w:pStyle w:val="Heading2"/>
        <w:spacing w:after="120" w:before="240"/>
      </w:pPr>
      <w:r>
        <w:rPr>
          <w:rFonts w:ascii="Arial" w:cs="Arial" w:eastAsia="Arial" w:hAnsi="Arial"/>
          <w:b/>
          <w:bCs/>
          <w:color w:val="0D1F4A"/>
          <w:sz w:val="24"/>
          <w:szCs w:val="24"/>
        </w:rPr>
        <w:t xml:space="preserve">Privacy architecture</w:t>
      </w:r>
    </w:p>
    <w:p>
      <w:pPr>
        <w:pStyle w:val="ListParagraph"/>
        <w:numPr>
          <w:ilvl w:val="0"/>
          <w:numId w:val="2"/>
        </w:numPr>
        <w:spacing w:after="60" w:before="60"/>
      </w:pPr>
      <w:r>
        <w:rPr>
          <w:rFonts w:ascii="Arial" w:cs="Arial" w:eastAsia="Arial" w:hAnsi="Arial"/>
          <w:color w:val="0D1F4A"/>
          <w:sz w:val="22"/>
          <w:szCs w:val="22"/>
        </w:rPr>
        <w:t xml:space="preserve">Row Level Security on Supabase — each student can only ever access their own data</w:t>
      </w:r>
    </w:p>
    <w:p>
      <w:pPr>
        <w:pStyle w:val="ListParagraph"/>
        <w:numPr>
          <w:ilvl w:val="0"/>
          <w:numId w:val="2"/>
        </w:numPr>
        <w:spacing w:after="60" w:before="60"/>
      </w:pPr>
      <w:r>
        <w:rPr>
          <w:rFonts w:ascii="Arial" w:cs="Arial" w:eastAsia="Arial" w:hAnsi="Arial"/>
          <w:color w:val="0D1F4A"/>
          <w:sz w:val="22"/>
          <w:szCs w:val="22"/>
        </w:rPr>
        <w:t xml:space="preserve">Encrypted storage — all grade data encrypted at rest and in transit</w:t>
      </w:r>
    </w:p>
    <w:p>
      <w:pPr>
        <w:pStyle w:val="ListParagraph"/>
        <w:numPr>
          <w:ilvl w:val="0"/>
          <w:numId w:val="2"/>
        </w:numPr>
        <w:spacing w:after="60" w:before="60"/>
      </w:pPr>
      <w:r>
        <w:rPr>
          <w:rFonts w:ascii="Arial" w:cs="Arial" w:eastAsia="Arial" w:hAnsi="Arial"/>
          <w:color w:val="0D1F4A"/>
          <w:sz w:val="22"/>
          <w:szCs w:val="22"/>
        </w:rPr>
        <w:t xml:space="preserve">No admin access — GlobalCompass staff cannot view individual student records</w:t>
      </w:r>
    </w:p>
    <w:p>
      <w:pPr>
        <w:pStyle w:val="ListParagraph"/>
        <w:numPr>
          <w:ilvl w:val="0"/>
          <w:numId w:val="2"/>
        </w:numPr>
        <w:spacing w:after="60" w:before="60"/>
      </w:pPr>
      <w:r>
        <w:rPr>
          <w:rFonts w:ascii="Arial" w:cs="Arial" w:eastAsia="Arial" w:hAnsi="Arial"/>
          <w:color w:val="0D1F4A"/>
          <w:sz w:val="22"/>
          <w:szCs w:val="22"/>
        </w:rPr>
        <w:t xml:space="preserve">No sharing between students — zero social features, zero leaderboards, zero comparisons</w:t>
      </w:r>
    </w:p>
    <w:p>
      <w:pPr>
        <w:pStyle w:val="ListParagraph"/>
        <w:numPr>
          <w:ilvl w:val="0"/>
          <w:numId w:val="2"/>
        </w:numPr>
        <w:spacing w:after="60" w:before="60"/>
      </w:pPr>
      <w:r>
        <w:rPr>
          <w:rFonts w:ascii="Arial" w:cs="Arial" w:eastAsia="Arial" w:hAnsi="Arial"/>
          <w:color w:val="0D1F4A"/>
          <w:sz w:val="22"/>
          <w:szCs w:val="22"/>
        </w:rPr>
        <w:t xml:space="preserve">Auto-deletion scheduler — system permanently deletes all data 90 days after graduation</w:t>
      </w:r>
    </w:p>
    <w:p>
      <w:pPr>
        <w:spacing w:after="80" w:before="80"/>
      </w:pPr>
      <w:r>
        <w:t xml:space="preserve"/>
      </w:r>
    </w:p>
    <w:p>
      <w:pPr>
        <w:pStyle w:val="Heading1"/>
        <w:pBdr>
          <w:bottom w:val="single" w:color="1B3A7A" w:sz="4" w:space="6"/>
        </w:pBdr>
        <w:spacing w:after="160" w:before="360"/>
      </w:pPr>
      <w:r>
        <w:rPr>
          <w:rFonts w:ascii="Arial" w:cs="Arial" w:eastAsia="Arial" w:hAnsi="Arial"/>
          <w:b/>
          <w:bCs/>
          <w:color w:val="1B3A7A"/>
          <w:sz w:val="28"/>
          <w:szCs w:val="28"/>
        </w:rPr>
        <w:t xml:space="preserve">4. Revenue Model — Academic Passport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C0D0E8" w:sz="1"/>
              <w:left w:val="single" w:color="C0D0E8" w:sz="1"/>
              <w:bottom w:val="single" w:color="C0D0E8" w:sz="1"/>
              <w:right w:val="single" w:color="C0D0E8" w:sz="1"/>
            </w:tcBorders>
            <w:shd w:fill="1B3A7A"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Borders>
              <w:top w:val="single" w:color="C0D0E8" w:sz="1"/>
              <w:left w:val="single" w:color="C0D0E8" w:sz="1"/>
              <w:bottom w:val="single" w:color="C0D0E8" w:sz="1"/>
              <w:right w:val="single" w:color="C0D0E8" w:sz="1"/>
            </w:tcBorders>
            <w:shd w:fill="1B3A7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Borders>
              <w:top w:val="single" w:color="C0D0E8" w:sz="1"/>
              <w:left w:val="single" w:color="C0D0E8" w:sz="1"/>
              <w:bottom w:val="single" w:color="C0D0E8" w:sz="1"/>
              <w:right w:val="single" w:color="C0D0E8" w:sz="1"/>
            </w:tcBorders>
            <w:shd w:fill="1B3A7A" w:val="clear"/>
            <w:tcMar>
              <w:top w:type="dxa" w:w="80"/>
              <w:left w:type="dxa" w:w="120"/>
              <w:bottom w:type="dxa" w:w="80"/>
              <w:right w:type="dxa" w:w="120"/>
            </w:tcMar>
          </w:tcPr>
          <w:p>
            <w:r>
              <w:rPr>
                <w:rFonts w:ascii="Arial" w:cs="Arial" w:eastAsia="Arial" w:hAnsi="Arial"/>
                <w:b/>
                <w:bCs/>
                <w:color w:val="FFFFFF"/>
                <w:sz w:val="20"/>
                <w:szCs w:val="20"/>
              </w:rPr>
              <w:t xml:space="preserve">Year 1</w:t>
            </w:r>
          </w:p>
        </w:tc>
        <w:tc>
          <w:tcPr>
            <w:tcBorders>
              <w:top w:val="single" w:color="C0D0E8" w:sz="1"/>
              <w:left w:val="single" w:color="C0D0E8" w:sz="1"/>
              <w:bottom w:val="single" w:color="C0D0E8" w:sz="1"/>
              <w:right w:val="single" w:color="C0D0E8" w:sz="1"/>
            </w:tcBorders>
            <w:shd w:fill="1B3A7A" w:val="clear"/>
            <w:tcMar>
              <w:top w:type="dxa" w:w="80"/>
              <w:left w:type="dxa" w:w="120"/>
              <w:bottom w:type="dxa" w:w="80"/>
              <w:right w:type="dxa" w:w="120"/>
            </w:tcMar>
          </w:tcPr>
          <w:p>
            <w:r>
              <w:rPr>
                <w:rFonts w:ascii="Arial" w:cs="Arial" w:eastAsia="Arial" w:hAnsi="Arial"/>
                <w:b/>
                <w:bCs/>
                <w:color w:val="FFFFFF"/>
                <w:sz w:val="20"/>
                <w:szCs w:val="20"/>
              </w:rPr>
              <w:t xml:space="preserve">Year 2</w:t>
            </w:r>
          </w:p>
        </w:tc>
        <w:tc>
          <w:tcPr>
            <w:tcBorders>
              <w:top w:val="single" w:color="C0D0E8" w:sz="1"/>
              <w:left w:val="single" w:color="C0D0E8" w:sz="1"/>
              <w:bottom w:val="single" w:color="C0D0E8" w:sz="1"/>
              <w:right w:val="single" w:color="C0D0E8" w:sz="1"/>
            </w:tcBorders>
            <w:shd w:fill="1B3A7A" w:val="clear"/>
            <w:tcMar>
              <w:top w:type="dxa" w:w="80"/>
              <w:left w:type="dxa" w:w="120"/>
              <w:bottom w:type="dxa" w:w="80"/>
              <w:right w:type="dxa" w:w="120"/>
            </w:tcMar>
          </w:tcPr>
          <w:p>
            <w:r>
              <w:rPr>
                <w:rFonts w:ascii="Arial" w:cs="Arial" w:eastAsia="Arial" w:hAnsi="Arial"/>
                <w:b/>
                <w:bCs/>
                <w:color w:val="FFFFFF"/>
                <w:sz w:val="20"/>
                <w:szCs w:val="20"/>
              </w:rPr>
              <w:t xml:space="preserve">Year 3</w:t>
            </w:r>
          </w:p>
        </w:tc>
      </w:tr>
      <w:tr>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Pro subscriptions</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USD 9.99 per month per student</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USD 60,000</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USD 240,000</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USD 600,000</w:t>
            </w:r>
          </w:p>
        </w:tc>
      </w:tr>
      <w:tr>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School licences</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Annual fee per school</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USD 10,000</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USD 50,000</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USD 200,000</w:t>
            </w:r>
          </w:p>
        </w:tc>
      </w:tr>
      <w:tr>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Tutoring commission</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10-15 percent per booking</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USD 12,000</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USD 60,000</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USD 240,000</w:t>
            </w:r>
          </w:p>
        </w:tc>
      </w:tr>
      <w:tr>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University data insights</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Anonymised aggregated only</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Zero</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USD 10,000</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USD 50,000</w:t>
            </w:r>
          </w:p>
        </w:tc>
      </w:tr>
      <w:tr>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Application consulting packs</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USD 49-99 one time purchase</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USD 6,000</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USD 36,000</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USD 120,000</w:t>
            </w:r>
          </w:p>
        </w:tc>
      </w:tr>
    </w:tbl>
    <w:p>
      <w:pPr>
        <w:spacing w:after="80" w:before="80"/>
      </w:pPr>
      <w:r>
        <w:t xml:space="preserve"/>
      </w:r>
    </w:p>
    <w:p>
      <w:pPr>
        <w:pBdr>
          <w:left w:val="single" w:color="1B3A7A" w:sz="6" w:space="8"/>
        </w:pBdr>
        <w:shd w:fill="EEF3FF" w:val="clear"/>
        <w:spacing w:after="100" w:before="100"/>
        <w:ind w:left="360"/>
      </w:pPr>
      <w:r>
        <w:rPr>
          <w:rFonts w:ascii="Arial" w:cs="Arial" w:eastAsia="Arial" w:hAnsi="Arial"/>
          <w:color w:val="0D1F4A"/>
          <w:sz w:val="22"/>
          <w:szCs w:val="22"/>
        </w:rPr>
        <w:t xml:space="preserve">Revenue follows value. Free users create the network effect that makes GlobalCompass worth paying for — for students, schools and universities alike.</w:t>
      </w:r>
    </w:p>
    <w:p>
      <w:pPr>
        <w:spacing w:after="80" w:before="80"/>
      </w:pPr>
      <w:r>
        <w:t xml:space="preserve"/>
      </w:r>
    </w:p>
    <w:p>
      <w:pPr>
        <w:pStyle w:val="Heading1"/>
        <w:pBdr>
          <w:bottom w:val="single" w:color="1B3A7A" w:sz="4" w:space="6"/>
        </w:pBdr>
        <w:spacing w:after="160" w:before="360"/>
      </w:pPr>
      <w:r>
        <w:rPr>
          <w:rFonts w:ascii="Arial" w:cs="Arial" w:eastAsia="Arial" w:hAnsi="Arial"/>
          <w:b/>
          <w:bCs/>
          <w:color w:val="1B3A7A"/>
          <w:sz w:val="28"/>
          <w:szCs w:val="28"/>
        </w:rPr>
        <w:t xml:space="preserve">5. Phase 3 — Platform Expansion (2027)</w:t>
      </w:r>
    </w:p>
    <w:p>
      <w:pPr>
        <w:pStyle w:val="Heading2"/>
        <w:spacing w:after="120" w:before="240"/>
      </w:pPr>
      <w:r>
        <w:rPr>
          <w:rFonts w:ascii="Arial" w:cs="Arial" w:eastAsia="Arial" w:hAnsi="Arial"/>
          <w:b/>
          <w:bCs/>
          <w:color w:val="0D1F4A"/>
          <w:sz w:val="24"/>
          <w:szCs w:val="24"/>
        </w:rPr>
        <w:t xml:space="preserve">Tutoring marketplace</w:t>
      </w:r>
    </w:p>
    <w:p>
      <w:pPr>
        <w:pStyle w:val="ListParagraph"/>
        <w:numPr>
          <w:ilvl w:val="0"/>
          <w:numId w:val="2"/>
        </w:numPr>
        <w:spacing w:after="60" w:before="60"/>
      </w:pPr>
      <w:r>
        <w:rPr>
          <w:rFonts w:ascii="Arial" w:cs="Arial" w:eastAsia="Arial" w:hAnsi="Arial"/>
          <w:color w:val="0D1F4A"/>
          <w:sz w:val="22"/>
          <w:szCs w:val="22"/>
        </w:rPr>
        <w:t xml:space="preserve">Connect students flagged by Academic Passport with verified tutors in UAE and online</w:t>
      </w:r>
    </w:p>
    <w:p>
      <w:pPr>
        <w:pStyle w:val="ListParagraph"/>
        <w:numPr>
          <w:ilvl w:val="0"/>
          <w:numId w:val="2"/>
        </w:numPr>
        <w:spacing w:after="60" w:before="60"/>
      </w:pPr>
      <w:r>
        <w:rPr>
          <w:rFonts w:ascii="Arial" w:cs="Arial" w:eastAsia="Arial" w:hAnsi="Arial"/>
          <w:color w:val="0D1F4A"/>
          <w:sz w:val="22"/>
          <w:szCs w:val="22"/>
        </w:rPr>
        <w:t xml:space="preserve">Commission 10-15 percent per booking</w:t>
      </w:r>
    </w:p>
    <w:p>
      <w:pPr>
        <w:spacing w:after="80" w:before="80"/>
      </w:pPr>
      <w:r>
        <w:t xml:space="preserve"/>
      </w:r>
    </w:p>
    <w:p>
      <w:pPr>
        <w:pStyle w:val="Heading2"/>
        <w:spacing w:after="120" w:before="240"/>
      </w:pPr>
      <w:r>
        <w:rPr>
          <w:rFonts w:ascii="Arial" w:cs="Arial" w:eastAsia="Arial" w:hAnsi="Arial"/>
          <w:b/>
          <w:bCs/>
          <w:color w:val="0D1F4A"/>
          <w:sz w:val="24"/>
          <w:szCs w:val="24"/>
        </w:rPr>
        <w:t xml:space="preserve">School partnership portal</w:t>
      </w:r>
    </w:p>
    <w:p>
      <w:pPr>
        <w:pStyle w:val="ListParagraph"/>
        <w:numPr>
          <w:ilvl w:val="0"/>
          <w:numId w:val="2"/>
        </w:numPr>
        <w:spacing w:after="60" w:before="60"/>
      </w:pPr>
      <w:r>
        <w:rPr>
          <w:rFonts w:ascii="Arial" w:cs="Arial" w:eastAsia="Arial" w:hAnsi="Arial"/>
          <w:color w:val="0D1F4A"/>
          <w:sz w:val="22"/>
          <w:szCs w:val="22"/>
        </w:rPr>
        <w:t xml:space="preserve">Schools get branded GlobalCompass dashboard for their students under annual licence</w:t>
      </w:r>
    </w:p>
    <w:p>
      <w:pPr>
        <w:pStyle w:val="ListParagraph"/>
        <w:numPr>
          <w:ilvl w:val="0"/>
          <w:numId w:val="2"/>
        </w:numPr>
        <w:spacing w:after="60" w:before="60"/>
      </w:pPr>
      <w:r>
        <w:rPr>
          <w:rFonts w:ascii="Arial" w:cs="Arial" w:eastAsia="Arial" w:hAnsi="Arial"/>
          <w:color w:val="0D1F4A"/>
          <w:sz w:val="22"/>
          <w:szCs w:val="22"/>
        </w:rPr>
        <w:t xml:space="preserve">30+ IB World Schools in Dubai alone — significant addressable market immediately</w:t>
      </w:r>
    </w:p>
    <w:p>
      <w:pPr>
        <w:spacing w:after="80" w:before="80"/>
      </w:pPr>
      <w:r>
        <w:t xml:space="preserve"/>
      </w:r>
    </w:p>
    <w:p>
      <w:pPr>
        <w:pStyle w:val="Heading2"/>
        <w:spacing w:after="120" w:before="240"/>
      </w:pPr>
      <w:r>
        <w:rPr>
          <w:rFonts w:ascii="Arial" w:cs="Arial" w:eastAsia="Arial" w:hAnsi="Arial"/>
          <w:b/>
          <w:bCs/>
          <w:color w:val="0D1F4A"/>
          <w:sz w:val="24"/>
          <w:szCs w:val="24"/>
        </w:rPr>
        <w:t xml:space="preserve">Corporate relocation portal</w:t>
      </w:r>
    </w:p>
    <w:p>
      <w:pPr>
        <w:pStyle w:val="ListParagraph"/>
        <w:numPr>
          <w:ilvl w:val="0"/>
          <w:numId w:val="2"/>
        </w:numPr>
        <w:spacing w:after="60" w:before="60"/>
      </w:pPr>
      <w:r>
        <w:rPr>
          <w:rFonts w:ascii="Arial" w:cs="Arial" w:eastAsia="Arial" w:hAnsi="Arial"/>
          <w:color w:val="0D1F4A"/>
          <w:sz w:val="22"/>
          <w:szCs w:val="22"/>
        </w:rPr>
        <w:t xml:space="preserve">HR departments at major UAE companies get GlobalCompass for relocating employees with families</w:t>
      </w:r>
    </w:p>
    <w:p>
      <w:pPr>
        <w:pStyle w:val="ListParagraph"/>
        <w:numPr>
          <w:ilvl w:val="0"/>
          <w:numId w:val="2"/>
        </w:numPr>
        <w:spacing w:after="60" w:before="60"/>
      </w:pPr>
      <w:r>
        <w:rPr>
          <w:rFonts w:ascii="Arial" w:cs="Arial" w:eastAsia="Arial" w:hAnsi="Arial"/>
          <w:color w:val="0D1F4A"/>
          <w:sz w:val="22"/>
          <w:szCs w:val="22"/>
        </w:rPr>
        <w:t xml:space="preserve">Annual B2B contract USD 5,000 to 20,000 — target ADNOC, Emirates, DP World, banks</w:t>
      </w:r>
    </w:p>
    <w:p>
      <w:pPr>
        <w:spacing w:after="80" w:before="80"/>
      </w:pPr>
      <w:r>
        <w:t xml:space="preserve"/>
      </w:r>
    </w:p>
    <w:p>
      <w:pPr>
        <w:pStyle w:val="Heading1"/>
        <w:pBdr>
          <w:bottom w:val="single" w:color="1B3A7A" w:sz="4" w:space="6"/>
        </w:pBdr>
        <w:spacing w:after="160" w:before="360"/>
      </w:pPr>
      <w:r>
        <w:rPr>
          <w:rFonts w:ascii="Arial" w:cs="Arial" w:eastAsia="Arial" w:hAnsi="Arial"/>
          <w:b/>
          <w:bCs/>
          <w:color w:val="1B3A7A"/>
          <w:sz w:val="28"/>
          <w:szCs w:val="28"/>
        </w:rPr>
        <w:t xml:space="preserve">6. Phase 4 — Global Expansion (2028)</w:t>
      </w:r>
    </w:p>
    <w:p>
      <w:pPr>
        <w:pStyle w:val="Heading2"/>
        <w:spacing w:after="120" w:before="240"/>
      </w:pPr>
      <w:r>
        <w:rPr>
          <w:rFonts w:ascii="Arial" w:cs="Arial" w:eastAsia="Arial" w:hAnsi="Arial"/>
          <w:b/>
          <w:bCs/>
          <w:color w:val="0D1F4A"/>
          <w:sz w:val="24"/>
          <w:szCs w:val="24"/>
        </w:rPr>
        <w:t xml:space="preserve">Language localisation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0D0E8" w:sz="1"/>
              <w:left w:val="single" w:color="C0D0E8" w:sz="1"/>
              <w:bottom w:val="single" w:color="C0D0E8" w:sz="1"/>
              <w:right w:val="single" w:color="C0D0E8" w:sz="1"/>
            </w:tcBorders>
            <w:shd w:fill="1B3A7A"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Borders>
              <w:top w:val="single" w:color="C0D0E8" w:sz="1"/>
              <w:left w:val="single" w:color="C0D0E8" w:sz="1"/>
              <w:bottom w:val="single" w:color="C0D0E8" w:sz="1"/>
              <w:right w:val="single" w:color="C0D0E8" w:sz="1"/>
            </w:tcBorders>
            <w:shd w:fill="1B3A7A" w:val="clear"/>
            <w:tcMar>
              <w:top w:type="dxa" w:w="80"/>
              <w:left w:type="dxa" w:w="120"/>
              <w:bottom w:type="dxa" w:w="80"/>
              <w:right w:type="dxa" w:w="120"/>
            </w:tcMar>
          </w:tcPr>
          <w:p>
            <w:r>
              <w:rPr>
                <w:rFonts w:ascii="Arial" w:cs="Arial" w:eastAsia="Arial" w:hAnsi="Arial"/>
                <w:b/>
                <w:bCs/>
                <w:color w:val="FFFFFF"/>
                <w:sz w:val="20"/>
                <w:szCs w:val="20"/>
              </w:rPr>
              <w:t xml:space="preserve">Target Market</w:t>
            </w:r>
          </w:p>
        </w:tc>
        <w:tc>
          <w:tcPr>
            <w:tcBorders>
              <w:top w:val="single" w:color="C0D0E8" w:sz="1"/>
              <w:left w:val="single" w:color="C0D0E8" w:sz="1"/>
              <w:bottom w:val="single" w:color="C0D0E8" w:sz="1"/>
              <w:right w:val="single" w:color="C0D0E8" w:sz="1"/>
            </w:tcBorders>
            <w:shd w:fill="1B3A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Hindi</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3.5M Indians in UAE plus India</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High — CBSE navigator first</w:t>
            </w:r>
          </w:p>
        </w:tc>
      </w:tr>
      <w:tr>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Arabic</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UAE and Gulf nationals</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High — Arabic curriculum</w:t>
            </w:r>
          </w:p>
        </w:tc>
      </w:tr>
      <w:tr>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French</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French community UAE plus France</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Medium</w:t>
            </w:r>
          </w:p>
        </w:tc>
      </w:tr>
      <w:tr>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Spanish</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Latin America plus Spain</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Medium — founder native speaker</w:t>
            </w:r>
          </w:p>
        </w:tc>
      </w:tr>
      <w:tr>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Portuguese</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Brazil plus Portugal markets</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Medium — ENEM navigator</w:t>
            </w:r>
          </w:p>
        </w:tc>
      </w:tr>
    </w:tbl>
    <w:p>
      <w:pPr>
        <w:spacing w:after="80" w:before="80"/>
      </w:pPr>
      <w:r>
        <w:t xml:space="preserve"/>
      </w:r>
    </w:p>
    <w:p>
      <w:pPr>
        <w:pStyle w:val="Heading2"/>
        <w:spacing w:after="120" w:before="240"/>
      </w:pPr>
      <w:r>
        <w:rPr>
          <w:rFonts w:ascii="Arial" w:cs="Arial" w:eastAsia="Arial" w:hAnsi="Arial"/>
          <w:b/>
          <w:bCs/>
          <w:color w:val="0D1F4A"/>
          <w:sz w:val="24"/>
          <w:szCs w:val="24"/>
        </w:rPr>
        <w:t xml:space="preserve">New country expansion</w:t>
      </w:r>
    </w:p>
    <w:p>
      <w:pPr>
        <w:pStyle w:val="ListParagraph"/>
        <w:numPr>
          <w:ilvl w:val="0"/>
          <w:numId w:val="2"/>
        </w:numPr>
        <w:spacing w:after="60" w:before="60"/>
      </w:pPr>
      <w:r>
        <w:rPr>
          <w:rFonts w:ascii="Arial" w:cs="Arial" w:eastAsia="Arial" w:hAnsi="Arial"/>
          <w:color w:val="0D1F4A"/>
          <w:sz w:val="22"/>
          <w:szCs w:val="22"/>
        </w:rPr>
        <w:t xml:space="preserve">Saudi Arabia, Qatar — Gulf expansion</w:t>
      </w:r>
    </w:p>
    <w:p>
      <w:pPr>
        <w:pStyle w:val="ListParagraph"/>
        <w:numPr>
          <w:ilvl w:val="0"/>
          <w:numId w:val="2"/>
        </w:numPr>
        <w:spacing w:after="60" w:before="60"/>
      </w:pPr>
      <w:r>
        <w:rPr>
          <w:rFonts w:ascii="Arial" w:cs="Arial" w:eastAsia="Arial" w:hAnsi="Arial"/>
          <w:color w:val="0D1F4A"/>
          <w:sz w:val="22"/>
          <w:szCs w:val="22"/>
        </w:rPr>
        <w:t xml:space="preserve">India, Singapore, Brazil — home markets for respective curricula</w:t>
      </w:r>
    </w:p>
    <w:p>
      <w:pPr>
        <w:pStyle w:val="ListParagraph"/>
        <w:numPr>
          <w:ilvl w:val="0"/>
          <w:numId w:val="2"/>
        </w:numPr>
        <w:spacing w:after="60" w:before="60"/>
      </w:pPr>
      <w:r>
        <w:rPr>
          <w:rFonts w:ascii="Arial" w:cs="Arial" w:eastAsia="Arial" w:hAnsi="Arial"/>
          <w:color w:val="0D1F4A"/>
          <w:sz w:val="22"/>
          <w:szCs w:val="22"/>
        </w:rPr>
        <w:t xml:space="preserve">UK — largest IB and A-Level market outside UAE</w:t>
      </w:r>
    </w:p>
    <w:p>
      <w:pPr>
        <w:spacing w:after="80" w:before="80"/>
      </w:pPr>
      <w:r>
        <w:t xml:space="preserve"/>
      </w:r>
    </w:p>
    <w:p>
      <w:pPr>
        <w:pStyle w:val="Heading2"/>
        <w:spacing w:after="120" w:before="240"/>
      </w:pPr>
      <w:r>
        <w:rPr>
          <w:rFonts w:ascii="Arial" w:cs="Arial" w:eastAsia="Arial" w:hAnsi="Arial"/>
          <w:b/>
          <w:bCs/>
          <w:color w:val="0D1F4A"/>
          <w:sz w:val="24"/>
          <w:szCs w:val="24"/>
        </w:rPr>
        <w:t xml:space="preserve">Mobile app development</w:t>
      </w:r>
    </w:p>
    <w:p>
      <w:pPr>
        <w:pStyle w:val="ListParagraph"/>
        <w:numPr>
          <w:ilvl w:val="0"/>
          <w:numId w:val="2"/>
        </w:numPr>
        <w:spacing w:after="60" w:before="60"/>
      </w:pPr>
      <w:r>
        <w:rPr>
          <w:rFonts w:ascii="Arial" w:cs="Arial" w:eastAsia="Arial" w:hAnsi="Arial"/>
          <w:color w:val="0D1F4A"/>
          <w:sz w:val="22"/>
          <w:szCs w:val="22"/>
        </w:rPr>
        <w:t xml:space="preserve">iOS and Android apps for Academic Passport — mobile-first students</w:t>
      </w:r>
    </w:p>
    <w:p>
      <w:pPr>
        <w:spacing w:after="80" w:before="80"/>
      </w:pPr>
      <w:r>
        <w:t xml:space="preserve"/>
      </w:r>
    </w:p>
    <w:p>
      <w:pPr>
        <w:pStyle w:val="Heading1"/>
        <w:pBdr>
          <w:bottom w:val="single" w:color="1B3A7A" w:sz="4" w:space="6"/>
        </w:pBdr>
        <w:spacing w:after="160" w:before="360"/>
      </w:pPr>
      <w:r>
        <w:rPr>
          <w:rFonts w:ascii="Arial" w:cs="Arial" w:eastAsia="Arial" w:hAnsi="Arial"/>
          <w:b/>
          <w:bCs/>
          <w:color w:val="1B3A7A"/>
          <w:sz w:val="28"/>
          <w:szCs w:val="28"/>
        </w:rPr>
        <w:t xml:space="preserve">7. Investment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0D0E8" w:sz="1"/>
              <w:left w:val="single" w:color="C0D0E8" w:sz="1"/>
              <w:bottom w:val="single" w:color="C0D0E8" w:sz="1"/>
              <w:right w:val="single" w:color="C0D0E8" w:sz="1"/>
            </w:tcBorders>
            <w:shd w:fill="1B3A7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Borders>
              <w:top w:val="single" w:color="C0D0E8" w:sz="1"/>
              <w:left w:val="single" w:color="C0D0E8" w:sz="1"/>
              <w:bottom w:val="single" w:color="C0D0E8" w:sz="1"/>
              <w:right w:val="single" w:color="C0D0E8" w:sz="1"/>
            </w:tcBorders>
            <w:shd w:fill="1B3A7A"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c>
          <w:tcPr>
            <w:tcBorders>
              <w:top w:val="single" w:color="C0D0E8" w:sz="1"/>
              <w:left w:val="single" w:color="C0D0E8" w:sz="1"/>
              <w:bottom w:val="single" w:color="C0D0E8" w:sz="1"/>
              <w:right w:val="single" w:color="C0D0E8" w:sz="1"/>
            </w:tcBorders>
            <w:shd w:fill="1B3A7A" w:val="clear"/>
            <w:tcMar>
              <w:top w:type="dxa" w:w="80"/>
              <w:left w:type="dxa" w:w="120"/>
              <w:bottom w:type="dxa" w:w="80"/>
              <w:right w:type="dxa" w:w="120"/>
            </w:tcMar>
          </w:tcPr>
          <w:p>
            <w:r>
              <w:rPr>
                <w:rFonts w:ascii="Arial" w:cs="Arial" w:eastAsia="Arial" w:hAnsi="Arial"/>
                <w:b/>
                <w:bCs/>
                <w:color w:val="FFFFFF"/>
                <w:sz w:val="20"/>
                <w:szCs w:val="20"/>
              </w:rPr>
              <w:t xml:space="preserve">Investment Required</w:t>
            </w:r>
          </w:p>
        </w:tc>
        <w:tc>
          <w:tcPr>
            <w:tcBorders>
              <w:top w:val="single" w:color="C0D0E8" w:sz="1"/>
              <w:left w:val="single" w:color="C0D0E8" w:sz="1"/>
              <w:bottom w:val="single" w:color="C0D0E8" w:sz="1"/>
              <w:right w:val="single" w:color="C0D0E8" w:sz="1"/>
            </w:tcBorders>
            <w:shd w:fill="1B3A7A" w:val="clear"/>
            <w:tcMar>
              <w:top w:type="dxa" w:w="80"/>
              <w:left w:type="dxa" w:w="120"/>
              <w:bottom w:type="dxa" w:w="80"/>
              <w:right w:type="dxa" w:w="120"/>
            </w:tcMar>
          </w:tcPr>
          <w:p>
            <w:r>
              <w:rPr>
                <w:rFonts w:ascii="Arial" w:cs="Arial" w:eastAsia="Arial" w:hAnsi="Arial"/>
                <w:b/>
                <w:bCs/>
                <w:color w:val="FFFFFF"/>
                <w:sz w:val="20"/>
                <w:szCs w:val="20"/>
              </w:rPr>
              <w:t xml:space="preserve">Revenue Trigger</w:t>
            </w:r>
          </w:p>
        </w:tc>
      </w:tr>
      <w:tr>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Launch complete</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June 2026</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Zero — already live</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Waitlist conversions</w:t>
            </w:r>
          </w:p>
        </w:tc>
      </w:tr>
      <w:tr>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Stripe payments live</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Q3 2026</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Zero — free integration</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First Pro subscriber</w:t>
            </w:r>
          </w:p>
        </w:tc>
      </w:tr>
      <w:tr>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UAE Trade Licence</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Q3 2026</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AED 10,000 to 15,000</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First school payment received</w:t>
            </w:r>
          </w:p>
        </w:tc>
      </w:tr>
      <w:tr>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UAE Trademark</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Q3 2026</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AED 4,000 to 6,000</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First paid subscriber</w:t>
            </w:r>
          </w:p>
        </w:tc>
      </w:tr>
      <w:tr>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Academic Passport beta</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Q4 2026</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Development time only</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School licensing deal</w:t>
            </w:r>
          </w:p>
        </w:tc>
      </w:tr>
      <w:tr>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International trademark WIPO</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Q1 2027</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USD 5,000 to 8,000</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After 100 paying schools</w:t>
            </w:r>
          </w:p>
        </w:tc>
      </w:tr>
      <w:tr>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Tutoring marketplace</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Q2 2027</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USD 5,000 development</w:t>
            </w:r>
          </w:p>
        </w:tc>
        <w:tc>
          <w:tcPr>
            <w:tcBorders>
              <w:top w:val="single" w:color="C0D0E8" w:sz="1"/>
              <w:left w:val="single" w:color="C0D0E8" w:sz="1"/>
              <w:bottom w:val="single" w:color="C0D0E8" w:sz="1"/>
              <w:right w:val="single" w:color="C0D0E8" w:sz="1"/>
            </w:tcBorders>
            <w:shd w:fill="FFFFFF" w:val="clear"/>
            <w:tcMar>
              <w:top w:type="dxa" w:w="80"/>
              <w:left w:type="dxa" w:w="120"/>
              <w:bottom w:type="dxa" w:w="80"/>
              <w:right w:type="dxa" w:w="120"/>
            </w:tcMar>
          </w:tcPr>
          <w:p>
            <w:r>
              <w:rPr>
                <w:rFonts w:ascii="Arial" w:cs="Arial" w:eastAsia="Arial" w:hAnsi="Arial"/>
                <w:color w:val="0D1F4A"/>
                <w:sz w:val="20"/>
                <w:szCs w:val="20"/>
              </w:rPr>
              <w:t xml:space="preserve">Commission revenue flowing</w:t>
            </w:r>
          </w:p>
        </w:tc>
      </w:tr>
      <w:tr>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iOS and Android apps</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Q3 2027</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USD 15,000 to 30,000</w:t>
            </w:r>
          </w:p>
        </w:tc>
        <w:tc>
          <w:tcPr>
            <w:tcBorders>
              <w:top w:val="single" w:color="C0D0E8" w:sz="1"/>
              <w:left w:val="single" w:color="C0D0E8" w:sz="1"/>
              <w:bottom w:val="single" w:color="C0D0E8" w:sz="1"/>
              <w:right w:val="single" w:color="C0D0E8" w:sz="1"/>
            </w:tcBorders>
            <w:shd w:fill="F8F9FF" w:val="clear"/>
            <w:tcMar>
              <w:top w:type="dxa" w:w="80"/>
              <w:left w:type="dxa" w:w="120"/>
              <w:bottom w:type="dxa" w:w="80"/>
              <w:right w:type="dxa" w:w="120"/>
            </w:tcMar>
          </w:tcPr>
          <w:p>
            <w:r>
              <w:rPr>
                <w:rFonts w:ascii="Arial" w:cs="Arial" w:eastAsia="Arial" w:hAnsi="Arial"/>
                <w:color w:val="0D1F4A"/>
                <w:sz w:val="20"/>
                <w:szCs w:val="20"/>
              </w:rPr>
              <w:t xml:space="preserve">After 10,000 active users</w:t>
            </w:r>
          </w:p>
        </w:tc>
      </w:tr>
    </w:tbl>
    <w:p>
      <w:pPr>
        <w:spacing w:after="80" w:before="80"/>
      </w:pPr>
      <w:r>
        <w:t xml:space="preserve"/>
      </w:r>
    </w:p>
    <w:p>
      <w:pPr>
        <w:pStyle w:val="Heading1"/>
        <w:pBdr>
          <w:bottom w:val="single" w:color="1B3A7A" w:sz="4" w:space="6"/>
        </w:pBdr>
        <w:spacing w:after="160" w:before="360"/>
      </w:pPr>
      <w:r>
        <w:rPr>
          <w:rFonts w:ascii="Arial" w:cs="Arial" w:eastAsia="Arial" w:hAnsi="Arial"/>
          <w:b/>
          <w:bCs/>
          <w:color w:val="1B3A7A"/>
          <w:sz w:val="28"/>
          <w:szCs w:val="28"/>
        </w:rPr>
        <w:t xml:space="preserve">8. Giving Back — Future Commitment to Educational Access</w:t>
      </w:r>
    </w:p>
    <w:p>
      <w:pPr>
        <w:pBdr>
          <w:left w:val="single" w:color="1B3A7A" w:sz="6" w:space="8"/>
        </w:pBdr>
        <w:shd w:fill="EEF3FF" w:val="clear"/>
        <w:spacing w:after="100" w:before="100"/>
        <w:ind w:left="360"/>
      </w:pPr>
      <w:r>
        <w:rPr>
          <w:rFonts w:ascii="Arial" w:cs="Arial" w:eastAsia="Arial" w:hAnsi="Arial"/>
          <w:color w:val="0D1F4A"/>
          <w:sz w:val="22"/>
          <w:szCs w:val="22"/>
        </w:rPr>
        <w:t xml:space="preserve">GlobalCompass was founded on the belief that every child deserves a compass — including children without internet access, without expat resources, and without the privilege of choice that drives most of this platform today.</w:t>
      </w:r>
    </w:p>
    <w:p>
      <w:pPr>
        <w:spacing w:after="80" w:before="80"/>
      </w:pPr>
      <w:r>
        <w:t xml:space="preserve"/>
      </w:r>
    </w:p>
    <w:p>
      <w:pPr>
        <w:spacing w:after="80" w:before="80"/>
      </w:pPr>
      <w:r>
        <w:rPr>
          <w:rFonts w:ascii="Arial" w:cs="Arial" w:eastAsia="Arial" w:hAnsi="Arial"/>
          <w:color w:val="0D1F4A"/>
          <w:sz w:val="22"/>
          <w:szCs w:val="22"/>
        </w:rPr>
        <w:t xml:space="preserve">Susselt has expressed a personal intention that, once GlobalCompass reaches sustainable profitability, a portion of company profits will be directed toward expanding access to quality education in underserved and rural communities around the world.</w:t>
      </w:r>
    </w:p>
    <w:p>
      <w:pPr>
        <w:spacing w:after="80" w:before="80"/>
      </w:pPr>
      <w:r>
        <w:t xml:space="preserve"/>
      </w:r>
    </w:p>
    <w:p>
      <w:pPr>
        <w:spacing w:after="80" w:before="80"/>
      </w:pPr>
      <w:r>
        <w:rPr>
          <w:rFonts w:ascii="Arial" w:cs="Arial" w:eastAsia="Arial" w:hAnsi="Arial"/>
          <w:color w:val="0D1F4A"/>
          <w:sz w:val="22"/>
          <w:szCs w:val="22"/>
        </w:rPr>
        <w:t xml:space="preserve">This is recorded here as a stated future commitment and founding value, not as an active programme. Accepting public donations or establishing a charitable foundation requires separate legal accreditation, fundraising permits, and regulatory approval in the relevant jurisdiction — none of which is appropriate or necessary until GlobalCompass itself has demonstrated trust, credibility and sustainable revenue.</w:t>
      </w:r>
    </w:p>
    <w:p>
      <w:pPr>
        <w:spacing w:after="80" w:before="80"/>
      </w:pPr>
      <w:r>
        <w:t xml:space="preserve"/>
      </w:r>
    </w:p>
    <w:p>
      <w:pPr>
        <w:pStyle w:val="Heading2"/>
        <w:spacing w:after="120" w:before="240"/>
      </w:pPr>
      <w:r>
        <w:rPr>
          <w:rFonts w:ascii="Arial" w:cs="Arial" w:eastAsia="Arial" w:hAnsi="Arial"/>
          <w:b/>
          <w:bCs/>
          <w:color w:val="0D1F4A"/>
          <w:sz w:val="24"/>
          <w:szCs w:val="24"/>
        </w:rPr>
        <w:t xml:space="preserve">The distinction that matters</w:t>
      </w:r>
    </w:p>
    <w:p>
      <w:pPr>
        <w:pStyle w:val="ListParagraph"/>
        <w:numPr>
          <w:ilvl w:val="0"/>
          <w:numId w:val="2"/>
        </w:numPr>
        <w:spacing w:after="60" w:before="60"/>
      </w:pPr>
      <w:r>
        <w:rPr>
          <w:rFonts w:ascii="Arial" w:cs="Arial" w:eastAsia="Arial" w:hAnsi="Arial"/>
          <w:color w:val="0D1F4A"/>
          <w:sz w:val="22"/>
          <w:szCs w:val="22"/>
        </w:rPr>
        <w:t xml:space="preserve">Donating company profits — a business decision requiring no special licence, available as soon as profit exists</w:t>
      </w:r>
    </w:p>
    <w:p>
      <w:pPr>
        <w:pStyle w:val="ListParagraph"/>
        <w:numPr>
          <w:ilvl w:val="0"/>
          <w:numId w:val="2"/>
        </w:numPr>
        <w:spacing w:after="60" w:before="60"/>
      </w:pPr>
      <w:r>
        <w:rPr>
          <w:rFonts w:ascii="Arial" w:cs="Arial" w:eastAsia="Arial" w:hAnsi="Arial"/>
          <w:color w:val="0D1F4A"/>
          <w:sz w:val="22"/>
          <w:szCs w:val="22"/>
        </w:rPr>
        <w:t xml:space="preserve">Accepting public donations — requires charity/fundraising registration (in the UAE, via IACAD or equivalent authority), audited financial reporting, and significant accreditation — appropriately deferred to a later stage</w:t>
      </w:r>
    </w:p>
    <w:p>
      <w:pPr>
        <w:spacing w:after="80" w:before="80"/>
      </w:pPr>
      <w:r>
        <w:t xml:space="preserve"/>
      </w:r>
    </w:p>
    <w:p>
      <w:pPr>
        <w:pStyle w:val="Heading2"/>
        <w:spacing w:after="120" w:before="240"/>
      </w:pPr>
      <w:r>
        <w:rPr>
          <w:rFonts w:ascii="Arial" w:cs="Arial" w:eastAsia="Arial" w:hAnsi="Arial"/>
          <w:b/>
          <w:bCs/>
          <w:color w:val="0D1F4A"/>
          <w:sz w:val="24"/>
          <w:szCs w:val="24"/>
        </w:rPr>
        <w:t xml:space="preserve">Sequencing</w:t>
      </w:r>
    </w:p>
    <w:p>
      <w:pPr>
        <w:pStyle w:val="ListParagraph"/>
        <w:numPr>
          <w:ilvl w:val="0"/>
          <w:numId w:val="2"/>
        </w:numPr>
        <w:spacing w:after="60" w:before="60"/>
      </w:pPr>
      <w:r>
        <w:rPr>
          <w:rFonts w:ascii="Arial" w:cs="Arial" w:eastAsia="Arial" w:hAnsi="Arial"/>
          <w:color w:val="0D1F4A"/>
          <w:sz w:val="22"/>
          <w:szCs w:val="22"/>
        </w:rPr>
        <w:t xml:space="preserve">Stage 1 (now through Phase 3) — Build trust, revenue and credibility as a platform</w:t>
      </w:r>
    </w:p>
    <w:p>
      <w:pPr>
        <w:pStyle w:val="ListParagraph"/>
        <w:numPr>
          <w:ilvl w:val="0"/>
          <w:numId w:val="2"/>
        </w:numPr>
        <w:spacing w:after="60" w:before="60"/>
      </w:pPr>
      <w:r>
        <w:rPr>
          <w:rFonts w:ascii="Arial" w:cs="Arial" w:eastAsia="Arial" w:hAnsi="Arial"/>
          <w:color w:val="0D1F4A"/>
          <w:sz w:val="22"/>
          <w:szCs w:val="22"/>
        </w:rPr>
        <w:t xml:space="preserve">Stage 2 (post-profitability) — Begin directing a defined percentage of company profit toward rural and underserved education access, as a direct business donation</w:t>
      </w:r>
    </w:p>
    <w:p>
      <w:pPr>
        <w:pStyle w:val="ListParagraph"/>
        <w:numPr>
          <w:ilvl w:val="0"/>
          <w:numId w:val="2"/>
        </w:numPr>
        <w:spacing w:after="60" w:before="60"/>
      </w:pPr>
      <w:r>
        <w:rPr>
          <w:rFonts w:ascii="Arial" w:cs="Arial" w:eastAsia="Arial" w:hAnsi="Arial"/>
          <w:color w:val="0D1F4A"/>
          <w:sz w:val="22"/>
          <w:szCs w:val="22"/>
        </w:rPr>
        <w:t xml:space="preserve">Stage 3 (long-term, if desired) — Formalise into a dedicated foundation or accept public donations, only with proper legal registration and accreditation in place</w:t>
      </w:r>
    </w:p>
    <w:p>
      <w:pPr>
        <w:spacing w:after="80" w:before="80"/>
      </w:pPr>
      <w:r>
        <w:t xml:space="preserve"/>
      </w:r>
    </w:p>
    <w:p>
      <w:pPr>
        <w:pBdr>
          <w:left w:val="single" w:color="1B3A7A" w:sz="6" w:space="8"/>
        </w:pBdr>
        <w:shd w:fill="EEF3FF" w:val="clear"/>
        <w:spacing w:after="100" w:before="100"/>
        <w:ind w:left="360"/>
      </w:pPr>
      <w:r>
        <w:rPr>
          <w:rFonts w:ascii="Arial" w:cs="Arial" w:eastAsia="Arial" w:hAnsi="Arial"/>
          <w:color w:val="0D1F4A"/>
          <w:sz w:val="22"/>
          <w:szCs w:val="22"/>
        </w:rPr>
        <w:t xml:space="preserve">This section exists to date and protect the founding vision in writing, while ensuring GlobalCompass pursues it responsibly and legally, in the right order.</w:t>
      </w:r>
    </w:p>
    <w:p>
      <w:pPr>
        <w:spacing w:after="80" w:before="80"/>
      </w:pPr>
      <w:r>
        <w:t xml:space="preserve"/>
      </w:r>
    </w:p>
    <w:p>
      <w:pPr>
        <w:pStyle w:val="Heading1"/>
        <w:pBdr>
          <w:bottom w:val="single" w:color="1B3A7A" w:sz="4" w:space="6"/>
        </w:pBdr>
        <w:spacing w:after="160" w:before="360"/>
      </w:pPr>
      <w:r>
        <w:rPr>
          <w:rFonts w:ascii="Arial" w:cs="Arial" w:eastAsia="Arial" w:hAnsi="Arial"/>
          <w:b/>
          <w:bCs/>
          <w:color w:val="1B3A7A"/>
          <w:sz w:val="28"/>
          <w:szCs w:val="28"/>
        </w:rPr>
        <w:t xml:space="preserve">9. The Vision</w:t>
      </w:r>
    </w:p>
    <w:p>
      <w:pPr>
        <w:spacing w:after="80" w:before="80"/>
      </w:pPr>
      <w:r>
        <w:rPr>
          <w:rFonts w:ascii="Arial" w:cs="Arial" w:eastAsia="Arial" w:hAnsi="Arial"/>
          <w:color w:val="0D1F4A"/>
          <w:sz w:val="22"/>
          <w:szCs w:val="22"/>
        </w:rPr>
        <w:t xml:space="preserve">GlobalCompass was founded on a simple belief — every child deserves trusted, personalised, independent guidance through the most important educational decisions of their life, regardless of where in the world they are or what curriculum they follow.</w:t>
      </w:r>
    </w:p>
    <w:p>
      <w:pPr>
        <w:spacing w:after="80" w:before="80"/>
      </w:pPr>
      <w:r>
        <w:t xml:space="preserve"/>
      </w:r>
    </w:p>
    <w:p>
      <w:pPr>
        <w:spacing w:after="80" w:before="80"/>
      </w:pPr>
      <w:r>
        <w:rPr>
          <w:rFonts w:ascii="Arial" w:cs="Arial" w:eastAsia="Arial" w:hAnsi="Arial"/>
          <w:color w:val="0D1F4A"/>
          <w:sz w:val="22"/>
          <w:szCs w:val="22"/>
        </w:rPr>
        <w:t xml:space="preserve">The Academic Passport extends this mission into the daily lives of students. The future giving-back commitment extends it further still — toward children the platform may never directly reach today, but who remain part of why GlobalCompass exists at all.</w:t>
      </w:r>
    </w:p>
    <w:p>
      <w:pPr>
        <w:spacing w:after="80" w:before="80"/>
      </w:pPr>
      <w:r>
        <w:t xml:space="preserve"/>
      </w:r>
    </w:p>
    <w:p>
      <w:pPr>
        <w:pBdr>
          <w:left w:val="single" w:color="1B3A7A" w:sz="6" w:space="8"/>
        </w:pBdr>
        <w:shd w:fill="EEF3FF" w:val="clear"/>
        <w:spacing w:after="100" w:before="100"/>
        <w:ind w:left="360"/>
      </w:pPr>
      <w:r>
        <w:rPr>
          <w:rFonts w:ascii="Arial" w:cs="Arial" w:eastAsia="Arial" w:hAnsi="Arial"/>
          <w:color w:val="0D1F4A"/>
          <w:sz w:val="22"/>
          <w:szCs w:val="22"/>
        </w:rPr>
        <w:t xml:space="preserve">GlobalCompass will be to education what LinkedIn is to careers — the trusted identity layer that every student, school and university in the world relies on. And in time, a platform that gives back to the children who need it most.</w:t>
      </w:r>
    </w:p>
    <w:p>
      <w:pPr>
        <w:spacing w:after="80" w:before="80"/>
      </w:pPr>
      <w:r>
        <w:t xml:space="preserve"/>
      </w:r>
    </w:p>
    <w:p>
      <w:pPr>
        <w:spacing w:after="80" w:before="80"/>
      </w:pPr>
      <w:r>
        <w:t xml:space="preserve"/>
      </w:r>
    </w:p>
    <w:p>
      <w:pPr>
        <w:spacing w:after="60" w:before="200"/>
        <w:jc w:val="center"/>
      </w:pPr>
      <w:r>
        <w:rPr>
          <w:rFonts w:ascii="Arial" w:cs="Arial" w:eastAsia="Arial" w:hAnsi="Arial"/>
          <w:b/>
          <w:bCs/>
          <w:color w:val="1B3A7A"/>
          <w:sz w:val="24"/>
          <w:szCs w:val="24"/>
        </w:rPr>
        <w:t xml:space="preserve">GlobalCompass · globalcompass.education · June 2026</w:t>
      </w:r>
    </w:p>
    <w:p>
      <w:pPr>
        <w:jc w:val="center"/>
      </w:pPr>
      <w:r>
        <w:rPr>
          <w:rFonts w:ascii="Arial" w:cs="Arial" w:eastAsia="Arial" w:hAnsi="Arial"/>
          <w:i/>
          <w:iCs/>
          <w:color w:val="4A6FA5"/>
          <w:sz w:val="20"/>
          <w:szCs w:val="20"/>
        </w:rPr>
        <w:t xml:space="preserve">Every child deserves a compass.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bullet"/>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2026-06-18T09:08:01.149Z</dcterms:created>
  <dcterms:modified xsi:type="dcterms:W3CDTF">2026-06-18T09:08:01.171Z</dcterms:modified>
</cp:coreProperties>
</file>

<file path=docProps/custom.xml><?xml version="1.0" encoding="utf-8"?>
<Properties xmlns="http://schemas.openxmlformats.org/officeDocument/2006/custom-properties" xmlns:vt="http://schemas.openxmlformats.org/officeDocument/2006/docPropsVTypes"/>
</file>