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a3akmsg3h5e4" w:id="0"/>
      <w:bookmarkEnd w:id="0"/>
      <w:r w:rsidDel="00000000" w:rsidR="00000000" w:rsidRPr="00000000">
        <w:rPr>
          <w:rtl w:val="0"/>
        </w:rPr>
        <w:t xml:space="preserve">AI Model Building Process</w:t>
      </w:r>
    </w:p>
    <w:p w:rsidR="00000000" w:rsidDel="00000000" w:rsidP="00000000" w:rsidRDefault="00000000" w:rsidRPr="00000000" w14:paraId="00000002">
      <w:pPr>
        <w:pStyle w:val="Heading3"/>
        <w:rPr/>
      </w:pPr>
      <w:bookmarkStart w:colFirst="0" w:colLast="0" w:name="_lrm7ph7jgwao" w:id="1"/>
      <w:bookmarkEnd w:id="1"/>
      <w:r w:rsidDel="00000000" w:rsidR="00000000" w:rsidRPr="00000000">
        <w:rPr>
          <w:rtl w:val="0"/>
        </w:rPr>
        <w:t xml:space="preserve">Parameters planning</w:t>
      </w:r>
    </w:p>
    <w:p w:rsidR="00000000" w:rsidDel="00000000" w:rsidP="00000000" w:rsidRDefault="00000000" w:rsidRPr="00000000" w14:paraId="00000003">
      <w:pPr>
        <w:rPr/>
      </w:pPr>
      <w:r w:rsidDel="00000000" w:rsidR="00000000" w:rsidRPr="00000000">
        <w:rPr>
          <w:rtl w:val="0"/>
        </w:rPr>
        <w:t xml:space="preserve">The model needs specific, carefully chosen parameters to effectively capture the workload that an LLM (or other technologies) must manage for query processing. This workload is then expressed in terms of energy consumption, water usage, and carbon footprint.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most important factors that directly relate to this are,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Query length</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Query token count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Query type (code gen, image analysis, image gen, doc analysis, etc..)</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Model name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Region of server that responds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No. of API calls (Gemini does this)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Part of the day at the data center (morning/afternoon/night)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Season present at data center area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Output of the model:</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Power consumption (in kWh)</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Water consumption (in L)</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CO2 emission (in Kg CO2)</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These outputs should then be mapped to real-world examples for easy understanding.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tiiuw161q583" w:id="2"/>
      <w:bookmarkEnd w:id="2"/>
      <w:r w:rsidDel="00000000" w:rsidR="00000000" w:rsidRPr="00000000">
        <w:rPr>
          <w:rtl w:val="0"/>
        </w:rPr>
        <w:t xml:space="preserve">Data Collection for Each Parameter</w:t>
      </w:r>
    </w:p>
    <w:p w:rsidR="00000000" w:rsidDel="00000000" w:rsidP="00000000" w:rsidRDefault="00000000" w:rsidRPr="00000000" w14:paraId="00000018">
      <w:pPr>
        <w:spacing w:after="240" w:before="240" w:lineRule="auto"/>
        <w:rPr/>
      </w:pPr>
      <w:r w:rsidDel="00000000" w:rsidR="00000000" w:rsidRPr="00000000">
        <w:rPr>
          <w:rtl w:val="0"/>
        </w:rPr>
        <w:t xml:space="preserve">To ensure a comprehensive dataset for our model, we employ a combination of simulation, publicly available data, and reasonable assumptions.</w:t>
      </w:r>
    </w:p>
    <w:p w:rsidR="00000000" w:rsidDel="00000000" w:rsidP="00000000" w:rsidRDefault="00000000" w:rsidRPr="00000000" w14:paraId="00000019">
      <w:pPr>
        <w:numPr>
          <w:ilvl w:val="0"/>
          <w:numId w:val="1"/>
        </w:numPr>
        <w:spacing w:after="0" w:afterAutospacing="0" w:before="240" w:lineRule="auto"/>
        <w:ind w:left="425.19685039370086" w:hanging="360"/>
      </w:pPr>
      <w:r w:rsidDel="00000000" w:rsidR="00000000" w:rsidRPr="00000000">
        <w:rPr>
          <w:b w:val="1"/>
          <w:rtl w:val="0"/>
        </w:rPr>
        <w:t xml:space="preserve">Query Length and Type</w:t>
      </w:r>
      <w:r w:rsidDel="00000000" w:rsidR="00000000" w:rsidRPr="00000000">
        <w:rPr>
          <w:rtl w:val="0"/>
        </w:rPr>
        <w:t xml:space="preserve">: Simulated using a range of predefined structures and randomly generated query formats.</w:t>
      </w:r>
    </w:p>
    <w:p w:rsidR="00000000" w:rsidDel="00000000" w:rsidP="00000000" w:rsidRDefault="00000000" w:rsidRPr="00000000" w14:paraId="0000001A">
      <w:pPr>
        <w:numPr>
          <w:ilvl w:val="0"/>
          <w:numId w:val="1"/>
        </w:numPr>
        <w:spacing w:after="0" w:afterAutospacing="0" w:before="0" w:beforeAutospacing="0" w:lineRule="auto"/>
        <w:ind w:left="425.19685039370086" w:hanging="360"/>
      </w:pPr>
      <w:r w:rsidDel="00000000" w:rsidR="00000000" w:rsidRPr="00000000">
        <w:rPr>
          <w:b w:val="1"/>
          <w:rtl w:val="0"/>
        </w:rPr>
        <w:t xml:space="preserve">Model Names</w:t>
      </w:r>
      <w:r w:rsidDel="00000000" w:rsidR="00000000" w:rsidRPr="00000000">
        <w:rPr>
          <w:rtl w:val="0"/>
        </w:rPr>
        <w:t xml:space="preserve">: Selected from a curated list of commonly used AI models.</w:t>
      </w:r>
    </w:p>
    <w:p w:rsidR="00000000" w:rsidDel="00000000" w:rsidP="00000000" w:rsidRDefault="00000000" w:rsidRPr="00000000" w14:paraId="0000001B">
      <w:pPr>
        <w:numPr>
          <w:ilvl w:val="0"/>
          <w:numId w:val="1"/>
        </w:numPr>
        <w:spacing w:after="240" w:before="0" w:beforeAutospacing="0" w:lineRule="auto"/>
        <w:ind w:left="425.19685039370086" w:hanging="360"/>
      </w:pPr>
      <w:r w:rsidDel="00000000" w:rsidR="00000000" w:rsidRPr="00000000">
        <w:rPr>
          <w:b w:val="1"/>
          <w:rtl w:val="0"/>
        </w:rPr>
        <w:t xml:space="preserve">Server Regions / Data Centers</w:t>
      </w:r>
      <w:r w:rsidDel="00000000" w:rsidR="00000000" w:rsidRPr="00000000">
        <w:rPr>
          <w:rtl w:val="0"/>
        </w:rPr>
        <w:t xml:space="preserve">: Extracted from publicly available datasets, such as those on Kaggle, or sourced from cloud provider documentation.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challenge is in simulating the corresponding outputs for each input. </w:t>
      </w:r>
    </w:p>
    <w:p w:rsidR="00000000" w:rsidDel="00000000" w:rsidP="00000000" w:rsidRDefault="00000000" w:rsidRPr="00000000" w14:paraId="0000001E">
      <w:pPr>
        <w:rPr/>
      </w:pPr>
      <w:r w:rsidDel="00000000" w:rsidR="00000000" w:rsidRPr="00000000">
        <w:rPr>
          <w:rtl w:val="0"/>
        </w:rPr>
        <w:t xml:space="preserve">No information is available for predicting the output parameters. Cloud service providers did not provide open data on these metrics. So, we are making some assumptions and generalizations for predicting the outputs.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DISCLAIMER: </w:t>
      </w:r>
    </w:p>
    <w:p w:rsidR="00000000" w:rsidDel="00000000" w:rsidP="00000000" w:rsidRDefault="00000000" w:rsidRPr="00000000" w14:paraId="00000021">
      <w:pPr>
        <w:rPr/>
      </w:pPr>
      <w:r w:rsidDel="00000000" w:rsidR="00000000" w:rsidRPr="00000000">
        <w:rPr>
          <w:rtl w:val="0"/>
        </w:rPr>
        <w:t xml:space="preserve">The predicted sustainability metrics in this model—</w:t>
      </w:r>
      <w:r w:rsidDel="00000000" w:rsidR="00000000" w:rsidRPr="00000000">
        <w:rPr>
          <w:b w:val="1"/>
          <w:rtl w:val="0"/>
        </w:rPr>
        <w:t xml:space="preserve">power consumption, water footprint, and CO₂ emissions</w:t>
      </w:r>
      <w:r w:rsidDel="00000000" w:rsidR="00000000" w:rsidRPr="00000000">
        <w:rPr>
          <w:rtl w:val="0"/>
        </w:rPr>
        <w:t xml:space="preserve">—are </w:t>
      </w:r>
      <w:r w:rsidDel="00000000" w:rsidR="00000000" w:rsidRPr="00000000">
        <w:rPr>
          <w:b w:val="1"/>
          <w:rtl w:val="0"/>
        </w:rPr>
        <w:t xml:space="preserve">approximations </w:t>
      </w:r>
      <w:r w:rsidDel="00000000" w:rsidR="00000000" w:rsidRPr="00000000">
        <w:rPr>
          <w:rtl w:val="0"/>
        </w:rPr>
        <w:t xml:space="preserve">based on simulated data and estimations. These values </w:t>
      </w:r>
      <w:r w:rsidDel="00000000" w:rsidR="00000000" w:rsidRPr="00000000">
        <w:rPr>
          <w:b w:val="1"/>
          <w:rtl w:val="0"/>
        </w:rPr>
        <w:t xml:space="preserve">do not represent real-time or provider-specific measurements</w:t>
      </w:r>
      <w:r w:rsidDel="00000000" w:rsidR="00000000" w:rsidRPr="00000000">
        <w:rPr>
          <w:rtl w:val="0"/>
        </w:rPr>
        <w:t xml:space="preserve"> but serve as indicative benchmarks for understanding AI’s environmental impact.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3"/>
        <w:rPr/>
      </w:pPr>
      <w:bookmarkStart w:colFirst="0" w:colLast="0" w:name="_i83z4r36fxd4" w:id="3"/>
      <w:bookmarkEnd w:id="3"/>
      <w:r w:rsidDel="00000000" w:rsidR="00000000" w:rsidRPr="00000000">
        <w:rPr>
          <w:rtl w:val="0"/>
        </w:rPr>
        <w:t xml:space="preserve">Methods used to simulate output</w:t>
      </w:r>
    </w:p>
    <w:p w:rsidR="00000000" w:rsidDel="00000000" w:rsidP="00000000" w:rsidRDefault="00000000" w:rsidRPr="00000000" w14:paraId="00000024">
      <w:pPr>
        <w:rPr/>
      </w:pPr>
      <w:r w:rsidDel="00000000" w:rsidR="00000000" w:rsidRPr="00000000">
        <w:rPr>
          <w:rtl w:val="0"/>
        </w:rPr>
        <w:t xml:space="preserve">Using Publicly available data,</w:t>
      </w:r>
    </w:p>
    <w:p w:rsidR="00000000" w:rsidDel="00000000" w:rsidP="00000000" w:rsidRDefault="00000000" w:rsidRPr="00000000" w14:paraId="00000025">
      <w:pPr>
        <w:numPr>
          <w:ilvl w:val="0"/>
          <w:numId w:val="9"/>
        </w:numPr>
        <w:ind w:left="570" w:hanging="286.53543307086625"/>
        <w:rPr>
          <w:u w:val="none"/>
        </w:rPr>
      </w:pPr>
      <w:r w:rsidDel="00000000" w:rsidR="00000000" w:rsidRPr="00000000">
        <w:rPr>
          <w:rtl w:val="0"/>
        </w:rPr>
        <w:t xml:space="preserve">Google Cloud carbon footprint reports</w:t>
      </w:r>
    </w:p>
    <w:p w:rsidR="00000000" w:rsidDel="00000000" w:rsidP="00000000" w:rsidRDefault="00000000" w:rsidRPr="00000000" w14:paraId="00000026">
      <w:pPr>
        <w:numPr>
          <w:ilvl w:val="0"/>
          <w:numId w:val="9"/>
        </w:numPr>
        <w:ind w:left="570" w:hanging="286.53543307086625"/>
        <w:rPr>
          <w:u w:val="none"/>
        </w:rPr>
      </w:pPr>
      <w:r w:rsidDel="00000000" w:rsidR="00000000" w:rsidRPr="00000000">
        <w:rPr>
          <w:rtl w:val="0"/>
        </w:rPr>
        <w:t xml:space="preserve">Microsoft’s Sustainability Calculator</w:t>
      </w:r>
    </w:p>
    <w:p w:rsidR="00000000" w:rsidDel="00000000" w:rsidP="00000000" w:rsidRDefault="00000000" w:rsidRPr="00000000" w14:paraId="00000027">
      <w:pPr>
        <w:numPr>
          <w:ilvl w:val="0"/>
          <w:numId w:val="9"/>
        </w:numPr>
        <w:ind w:left="570" w:hanging="286.53543307086625"/>
        <w:rPr/>
      </w:pPr>
      <w:r w:rsidDel="00000000" w:rsidR="00000000" w:rsidRPr="00000000">
        <w:rPr>
          <w:rtl w:val="0"/>
        </w:rPr>
        <w:t xml:space="preserve">Top cloud service provider’s energy and sustainability reports</w:t>
      </w:r>
    </w:p>
    <w:p w:rsidR="00000000" w:rsidDel="00000000" w:rsidP="00000000" w:rsidRDefault="00000000" w:rsidRPr="00000000" w14:paraId="00000028">
      <w:pPr>
        <w:numPr>
          <w:ilvl w:val="0"/>
          <w:numId w:val="9"/>
        </w:numPr>
        <w:ind w:left="570" w:hanging="286.53543307086625"/>
        <w:rPr>
          <w:u w:val="none"/>
        </w:rPr>
      </w:pPr>
      <w:r w:rsidDel="00000000" w:rsidR="00000000" w:rsidRPr="00000000">
        <w:rPr>
          <w:rtl w:val="0"/>
        </w:rPr>
        <w:t xml:space="preserve">Research papers on LLM energy usage</w:t>
      </w:r>
    </w:p>
    <w:p w:rsidR="00000000" w:rsidDel="00000000" w:rsidP="00000000" w:rsidRDefault="00000000" w:rsidRPr="00000000" w14:paraId="00000029">
      <w:pPr>
        <w:numPr>
          <w:ilvl w:val="0"/>
          <w:numId w:val="9"/>
        </w:numPr>
        <w:ind w:left="570" w:hanging="286.53543307086625"/>
        <w:rPr>
          <w:u w:val="none"/>
        </w:rPr>
      </w:pPr>
      <w:r w:rsidDel="00000000" w:rsidR="00000000" w:rsidRPr="00000000">
        <w:rPr>
          <w:rtl w:val="0"/>
        </w:rPr>
        <w:t xml:space="preserve">Stanford AI index report</w:t>
      </w:r>
    </w:p>
    <w:p w:rsidR="00000000" w:rsidDel="00000000" w:rsidP="00000000" w:rsidRDefault="00000000" w:rsidRPr="00000000" w14:paraId="0000002A">
      <w:pPr>
        <w:numPr>
          <w:ilvl w:val="0"/>
          <w:numId w:val="9"/>
        </w:numPr>
        <w:ind w:left="570" w:hanging="286.53543307086625"/>
        <w:rPr>
          <w:u w:val="none"/>
        </w:rPr>
      </w:pPr>
      <w:r w:rsidDel="00000000" w:rsidR="00000000" w:rsidRPr="00000000">
        <w:rPr>
          <w:rtl w:val="0"/>
        </w:rPr>
        <w:t xml:space="preserve">Open-source datasets available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3"/>
        <w:rPr/>
      </w:pPr>
      <w:bookmarkStart w:colFirst="0" w:colLast="0" w:name="_ssgilhyqz7jf" w:id="4"/>
      <w:bookmarkEnd w:id="4"/>
      <w:r w:rsidDel="00000000" w:rsidR="00000000" w:rsidRPr="00000000">
        <w:rPr>
          <w:rtl w:val="0"/>
        </w:rPr>
        <w:t xml:space="preserve">Research Papers to analyze</w:t>
      </w:r>
    </w:p>
    <w:p w:rsidR="00000000" w:rsidDel="00000000" w:rsidP="00000000" w:rsidRDefault="00000000" w:rsidRPr="00000000" w14:paraId="0000002D">
      <w:pPr>
        <w:rPr/>
      </w:pPr>
      <w:r w:rsidDel="00000000" w:rsidR="00000000" w:rsidRPr="00000000">
        <w:rPr>
          <w:rtl w:val="0"/>
        </w:rPr>
        <w:t xml:space="preserve">Power consumption</w:t>
      </w:r>
      <w:r w:rsidDel="00000000" w:rsidR="00000000" w:rsidRPr="00000000">
        <w:rPr>
          <w:rtl w:val="0"/>
        </w:rPr>
      </w:r>
    </w:p>
    <w:p w:rsidR="00000000" w:rsidDel="00000000" w:rsidP="00000000" w:rsidRDefault="00000000" w:rsidRPr="00000000" w14:paraId="0000002E">
      <w:pPr>
        <w:rPr/>
      </w:pPr>
      <w:hyperlink r:id="rId6">
        <w:r w:rsidDel="00000000" w:rsidR="00000000" w:rsidRPr="00000000">
          <w:rPr>
            <w:color w:val="1155cc"/>
            <w:u w:val="single"/>
            <w:rtl w:val="0"/>
          </w:rPr>
          <w:t xml:space="preserve">https://ieeexplore.ieee.org/abstract/document/10363447</w:t>
        </w:r>
      </w:hyperlink>
      <w:r w:rsidDel="00000000" w:rsidR="00000000" w:rsidRPr="00000000">
        <w:rPr>
          <w:rtl w:val="0"/>
        </w:rPr>
      </w:r>
    </w:p>
    <w:p w:rsidR="00000000" w:rsidDel="00000000" w:rsidP="00000000" w:rsidRDefault="00000000" w:rsidRPr="00000000" w14:paraId="0000002F">
      <w:pPr>
        <w:rPr/>
      </w:pPr>
      <w:hyperlink r:id="rId7">
        <w:r w:rsidDel="00000000" w:rsidR="00000000" w:rsidRPr="00000000">
          <w:rPr>
            <w:color w:val="1155cc"/>
            <w:u w:val="single"/>
            <w:rtl w:val="0"/>
          </w:rPr>
          <w:t xml:space="preserve">https://arxiv.org/abs/2205.09646</w:t>
        </w:r>
      </w:hyperlink>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https://arxiv.org/abs/2407.04014</w:t>
        </w:r>
      </w:hyperlink>
      <w:r w:rsidDel="00000000" w:rsidR="00000000" w:rsidRPr="00000000">
        <w:rPr>
          <w:rtl w:val="0"/>
        </w:rPr>
      </w:r>
    </w:p>
    <w:p w:rsidR="00000000" w:rsidDel="00000000" w:rsidP="00000000" w:rsidRDefault="00000000" w:rsidRPr="00000000" w14:paraId="00000031">
      <w:pPr>
        <w:rPr/>
      </w:pPr>
      <w:hyperlink r:id="rId9">
        <w:r w:rsidDel="00000000" w:rsidR="00000000" w:rsidRPr="00000000">
          <w:rPr>
            <w:color w:val="1155cc"/>
            <w:u w:val="single"/>
            <w:rtl w:val="0"/>
          </w:rPr>
          <w:t xml:space="preserve">https://www.sciencedirect.com/science/article/pii/S2210537923000124</w:t>
        </w:r>
      </w:hyperlink>
      <w:r w:rsidDel="00000000" w:rsidR="00000000" w:rsidRPr="00000000">
        <w:rPr>
          <w:rtl w:val="0"/>
        </w:rPr>
      </w:r>
    </w:p>
    <w:p w:rsidR="00000000" w:rsidDel="00000000" w:rsidP="00000000" w:rsidRDefault="00000000" w:rsidRPr="00000000" w14:paraId="00000032">
      <w:pPr>
        <w:rPr/>
      </w:pPr>
      <w:hyperlink r:id="rId10">
        <w:r w:rsidDel="00000000" w:rsidR="00000000" w:rsidRPr="00000000">
          <w:rPr>
            <w:color w:val="1155cc"/>
            <w:u w:val="single"/>
            <w:rtl w:val="0"/>
          </w:rPr>
          <w:t xml:space="preserve">https://dl.acm.org/doi/abs/10.1145/3630106.3658542</w:t>
        </w:r>
      </w:hyperlink>
      <w:r w:rsidDel="00000000" w:rsidR="00000000" w:rsidRPr="00000000">
        <w:rPr>
          <w:rtl w:val="0"/>
        </w:rPr>
      </w:r>
    </w:p>
    <w:p w:rsidR="00000000" w:rsidDel="00000000" w:rsidP="00000000" w:rsidRDefault="00000000" w:rsidRPr="00000000" w14:paraId="00000033">
      <w:pPr>
        <w:rPr/>
      </w:pPr>
      <w:hyperlink r:id="rId11">
        <w:r w:rsidDel="00000000" w:rsidR="00000000" w:rsidRPr="00000000">
          <w:rPr>
            <w:color w:val="1155cc"/>
            <w:u w:val="single"/>
            <w:rtl w:val="0"/>
          </w:rPr>
          <w:t xml:space="preserve">https://arxiv.org/abs/2109.05472</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Carbon Footprint analysis</w:t>
      </w:r>
      <w:r w:rsidDel="00000000" w:rsidR="00000000" w:rsidRPr="00000000">
        <w:rPr>
          <w:rtl w:val="0"/>
        </w:rPr>
      </w:r>
    </w:p>
    <w:p w:rsidR="00000000" w:rsidDel="00000000" w:rsidP="00000000" w:rsidRDefault="00000000" w:rsidRPr="00000000" w14:paraId="00000036">
      <w:pPr>
        <w:rPr/>
      </w:pPr>
      <w:hyperlink r:id="rId12">
        <w:r w:rsidDel="00000000" w:rsidR="00000000" w:rsidRPr="00000000">
          <w:rPr>
            <w:color w:val="1155cc"/>
            <w:u w:val="single"/>
            <w:rtl w:val="0"/>
          </w:rPr>
          <w:t xml:space="preserve">https://dl.acm.org/doi/abs/10.1145/3604930.3605705</w:t>
        </w:r>
      </w:hyperlink>
      <w:r w:rsidDel="00000000" w:rsidR="00000000" w:rsidRPr="00000000">
        <w:rPr>
          <w:rtl w:val="0"/>
        </w:rPr>
      </w:r>
    </w:p>
    <w:p w:rsidR="00000000" w:rsidDel="00000000" w:rsidP="00000000" w:rsidRDefault="00000000" w:rsidRPr="00000000" w14:paraId="00000037">
      <w:pPr>
        <w:rPr/>
      </w:pPr>
      <w:hyperlink r:id="rId13">
        <w:r w:rsidDel="00000000" w:rsidR="00000000" w:rsidRPr="00000000">
          <w:rPr>
            <w:color w:val="1155cc"/>
            <w:u w:val="single"/>
            <w:rtl w:val="0"/>
          </w:rPr>
          <w:t xml:space="preserve">https://dl.acm.org/doi/fullHtml/10.1145/3603746</w:t>
        </w:r>
      </w:hyperlink>
      <w:r w:rsidDel="00000000" w:rsidR="00000000" w:rsidRPr="00000000">
        <w:rPr>
          <w:rtl w:val="0"/>
        </w:rPr>
      </w:r>
    </w:p>
    <w:p w:rsidR="00000000" w:rsidDel="00000000" w:rsidP="00000000" w:rsidRDefault="00000000" w:rsidRPr="00000000" w14:paraId="00000038">
      <w:pPr>
        <w:rPr/>
      </w:pPr>
      <w:hyperlink r:id="rId14">
        <w:r w:rsidDel="00000000" w:rsidR="00000000" w:rsidRPr="00000000">
          <w:rPr>
            <w:color w:val="1155cc"/>
            <w:u w:val="single"/>
            <w:rtl w:val="0"/>
          </w:rPr>
          <w:t xml:space="preserve">https://papers.ssrn.com/sol3/papers.cfm?abstract_id=5036344</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Water consumption</w:t>
      </w:r>
    </w:p>
    <w:p w:rsidR="00000000" w:rsidDel="00000000" w:rsidP="00000000" w:rsidRDefault="00000000" w:rsidRPr="00000000" w14:paraId="0000003B">
      <w:pPr>
        <w:rPr/>
      </w:pPr>
      <w:hyperlink r:id="rId15">
        <w:r w:rsidDel="00000000" w:rsidR="00000000" w:rsidRPr="00000000">
          <w:rPr>
            <w:color w:val="1155cc"/>
            <w:u w:val="single"/>
            <w:rtl w:val="0"/>
          </w:rPr>
          <w:t xml:space="preserve">https://puiij.com/index.php/research/article/view/39</w:t>
        </w:r>
      </w:hyperlink>
      <w:r w:rsidDel="00000000" w:rsidR="00000000" w:rsidRPr="00000000">
        <w:rPr>
          <w:rtl w:val="0"/>
        </w:rPr>
      </w:r>
    </w:p>
    <w:p w:rsidR="00000000" w:rsidDel="00000000" w:rsidP="00000000" w:rsidRDefault="00000000" w:rsidRPr="00000000" w14:paraId="0000003C">
      <w:pPr>
        <w:rPr/>
      </w:pPr>
      <w:hyperlink r:id="rId16">
        <w:r w:rsidDel="00000000" w:rsidR="00000000" w:rsidRPr="00000000">
          <w:rPr>
            <w:color w:val="1155cc"/>
            <w:u w:val="single"/>
            <w:rtl w:val="0"/>
          </w:rPr>
          <w:t xml:space="preserve">https://sustainability.biruni.edu.tr/sites/default/files/2024-05/Gupta%2C%20et%20al._AIs%20excessive%20water%20consumption.pdf</w:t>
        </w:r>
      </w:hyperlink>
      <w:r w:rsidDel="00000000" w:rsidR="00000000" w:rsidRPr="00000000">
        <w:rPr>
          <w:rtl w:val="0"/>
        </w:rPr>
      </w:r>
    </w:p>
    <w:p w:rsidR="00000000" w:rsidDel="00000000" w:rsidP="00000000" w:rsidRDefault="00000000" w:rsidRPr="00000000" w14:paraId="0000003D">
      <w:pPr>
        <w:rPr/>
      </w:pPr>
      <w:hyperlink r:id="rId17">
        <w:r w:rsidDel="00000000" w:rsidR="00000000" w:rsidRPr="00000000">
          <w:rPr>
            <w:color w:val="1155cc"/>
            <w:u w:val="single"/>
            <w:rtl w:val="0"/>
          </w:rPr>
          <w:t xml:space="preserve">https://dl.acm.org/doi/abs/10.1145/3578337.3605121</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y5jn6r8xmc9g" w:id="5"/>
      <w:bookmarkEnd w:id="5"/>
      <w:r w:rsidDel="00000000" w:rsidR="00000000" w:rsidRPr="00000000">
        <w:rPr>
          <w:rtl w:val="0"/>
        </w:rPr>
        <w:t xml:space="preserve">Inference from research papers</w:t>
      </w:r>
    </w:p>
    <w:p w:rsidR="00000000" w:rsidDel="00000000" w:rsidP="00000000" w:rsidRDefault="00000000" w:rsidRPr="00000000" w14:paraId="00000040">
      <w:pPr>
        <w:rPr/>
      </w:pPr>
      <w:r w:rsidDel="00000000" w:rsidR="00000000" w:rsidRPr="00000000">
        <w:rPr>
          <w:rtl w:val="0"/>
        </w:rPr>
        <w:t xml:space="preserve">For LLaMA model, which is similar to chatGPT3</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65B (65 billion parameters, 80 layers, 8192 dimensions)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words/sec or response/second </w:t>
      </w:r>
      <w:r w:rsidDel="00000000" w:rsidR="00000000" w:rsidRPr="00000000">
        <w:rPr>
          <w:b w:val="1"/>
          <w:rtl w:val="0"/>
        </w:rPr>
        <w:t xml:space="preserve">inversely proportional </w:t>
      </w:r>
      <w:r w:rsidDel="00000000" w:rsidR="00000000" w:rsidRPr="00000000">
        <w:rPr>
          <w:rtl w:val="0"/>
        </w:rPr>
        <w:t xml:space="preserve">to model parameter size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Advanced hardware (A100 GPUs) </w:t>
      </w:r>
      <w:r w:rsidDel="00000000" w:rsidR="00000000" w:rsidRPr="00000000">
        <w:rPr>
          <w:b w:val="1"/>
          <w:rtl w:val="0"/>
        </w:rPr>
        <w:t xml:space="preserve">proportional </w:t>
      </w:r>
      <w:r w:rsidDel="00000000" w:rsidR="00000000" w:rsidRPr="00000000">
        <w:rPr>
          <w:rtl w:val="0"/>
        </w:rPr>
        <w:t xml:space="preserve">to energy usage but less response time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On bare minimum hardware settings,</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65B: 460 W/sec (approx.)</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13B: 380 W/sec (approx.)</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7B: 200W/sec (approx.)</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On best case,</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Approximately 1000W/sec</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Model training of chatGPT - 1300MWh (approx.)</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Datacenter PUE:</w:t>
      </w:r>
    </w:p>
    <w:p w:rsidR="00000000" w:rsidDel="00000000" w:rsidP="00000000" w:rsidRDefault="00000000" w:rsidRPr="00000000" w14:paraId="0000004E">
      <w:pPr>
        <w:ind w:left="0" w:firstLine="0"/>
        <w:rPr/>
      </w:pPr>
      <w:r w:rsidDel="00000000" w:rsidR="00000000" w:rsidRPr="00000000">
        <w:rPr>
          <w:rtl w:val="0"/>
        </w:rPr>
        <w:t xml:space="preserve">PUE = (FE+ITE)/ITE,  FE - facility energy; ITE - information tech. Energy</w:t>
      </w:r>
    </w:p>
    <w:p w:rsidR="00000000" w:rsidDel="00000000" w:rsidP="00000000" w:rsidRDefault="00000000" w:rsidRPr="00000000" w14:paraId="0000004F">
      <w:pPr>
        <w:ind w:left="0" w:firstLine="0"/>
        <w:rPr/>
      </w:pPr>
      <w:r w:rsidDel="00000000" w:rsidR="00000000" w:rsidRPr="00000000">
        <w:rPr>
          <w:rtl w:val="0"/>
        </w:rPr>
        <w:t xml:space="preserve">PUE high during afternoons and summers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PUE = 1.6 (afternoons) ; PUE = 1.2 (night)</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PUE = 1.3 to 1.4 during summer</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Major datacenter like google and other, PUE = 1.1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GFLOPs are more useful in compute than no. of parameters</w:t>
      </w:r>
    </w:p>
    <w:p w:rsidR="00000000" w:rsidDel="00000000" w:rsidP="00000000" w:rsidRDefault="00000000" w:rsidRPr="00000000" w14:paraId="00000055">
      <w:pPr>
        <w:rPr/>
      </w:pPr>
      <w:r w:rsidDel="00000000" w:rsidR="00000000" w:rsidRPr="00000000">
        <w:rPr>
          <w:rtl w:val="0"/>
        </w:rPr>
        <w:t xml:space="preserve">Correlation between GFLOPs and # of parameters</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Transformers - 0.994</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CNNs - 0.772</w:t>
      </w:r>
    </w:p>
    <w:p w:rsidR="00000000" w:rsidDel="00000000" w:rsidP="00000000" w:rsidRDefault="00000000" w:rsidRPr="00000000" w14:paraId="00000058">
      <w:pPr>
        <w:ind w:left="0" w:firstLine="0"/>
        <w:rPr/>
      </w:pPr>
      <w:r w:rsidDel="00000000" w:rsidR="00000000" w:rsidRPr="00000000">
        <w:rPr>
          <w:rtl w:val="0"/>
        </w:rPr>
        <w:t xml:space="preserve">Top 1-accuracy models have GFLOPs around 50 to 100(0.3 to 1 Joule)</w:t>
      </w:r>
    </w:p>
    <w:p w:rsidR="00000000" w:rsidDel="00000000" w:rsidP="00000000" w:rsidRDefault="00000000" w:rsidRPr="00000000" w14:paraId="00000059">
      <w:pPr>
        <w:ind w:left="0" w:firstLine="0"/>
        <w:rPr/>
      </w:pPr>
      <w:r w:rsidDel="00000000" w:rsidR="00000000" w:rsidRPr="00000000">
        <w:rPr>
          <w:rtl w:val="0"/>
        </w:rPr>
        <w:t xml:space="preserve">Very high accuracy (85% - 90%) - around 1000 GFLOPs(30 Joules)</w:t>
        <w:br w:type="textWrapping"/>
        <w:br w:type="textWrapping"/>
        <w:t xml:space="preserve">Tokens play an important role in energy consumption</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Input tokens (8 tokens -&gt; 80J/token ; 2^11 tokens -&gt; 20J/token)</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Output tokens (8 tokens -&gt; 10J/token ; 2^11 tokens -&gt; 700J/token)</w:t>
      </w:r>
    </w:p>
    <w:p w:rsidR="00000000" w:rsidDel="00000000" w:rsidP="00000000" w:rsidRDefault="00000000" w:rsidRPr="00000000" w14:paraId="0000005C">
      <w:pPr>
        <w:ind w:left="0" w:firstLine="0"/>
        <w:rPr/>
      </w:pPr>
      <w:r w:rsidDel="00000000" w:rsidR="00000000" w:rsidRPr="00000000">
        <w:rPr>
          <w:rtl w:val="0"/>
        </w:rPr>
        <w:t xml:space="preserve">Output tokens ply crucial role in energy consumption.</w: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color w:val="000000"/>
          <w:sz w:val="26"/>
          <w:szCs w:val="26"/>
        </w:rPr>
      </w:pPr>
      <w:bookmarkStart w:colFirst="0" w:colLast="0" w:name="_l87pckwqqfb9" w:id="6"/>
      <w:bookmarkEnd w:id="6"/>
      <w:r w:rsidDel="00000000" w:rsidR="00000000" w:rsidRPr="00000000">
        <w:rPr>
          <w:color w:val="000000"/>
          <w:sz w:val="26"/>
          <w:szCs w:val="26"/>
          <w:rtl w:val="0"/>
        </w:rPr>
        <w:t xml:space="preserve">Government &amp; Tech Reports</w:t>
      </w:r>
    </w:p>
    <w:p w:rsidR="00000000" w:rsidDel="00000000" w:rsidP="00000000" w:rsidRDefault="00000000" w:rsidRPr="00000000" w14:paraId="0000005E">
      <w:pPr>
        <w:numPr>
          <w:ilvl w:val="0"/>
          <w:numId w:val="5"/>
        </w:numPr>
        <w:spacing w:after="0" w:afterAutospacing="0" w:before="240" w:lineRule="auto"/>
        <w:ind w:left="425.19685039370086" w:hanging="360"/>
      </w:pPr>
      <w:r w:rsidDel="00000000" w:rsidR="00000000" w:rsidRPr="00000000">
        <w:rPr>
          <w:b w:val="1"/>
          <w:rtl w:val="0"/>
        </w:rPr>
        <w:t xml:space="preserve">Google Cloud Sustainability Reports</w:t>
      </w:r>
      <w:r w:rsidDel="00000000" w:rsidR="00000000" w:rsidRPr="00000000">
        <w:rPr>
          <w:rtl w:val="0"/>
        </w:rPr>
        <w:t xml:space="preserve"> (Google’s Environmental Report)</w:t>
      </w:r>
    </w:p>
    <w:p w:rsidR="00000000" w:rsidDel="00000000" w:rsidP="00000000" w:rsidRDefault="00000000" w:rsidRPr="00000000" w14:paraId="0000005F">
      <w:pPr>
        <w:numPr>
          <w:ilvl w:val="0"/>
          <w:numId w:val="5"/>
        </w:numPr>
        <w:spacing w:after="0" w:afterAutospacing="0" w:before="0" w:beforeAutospacing="0" w:lineRule="auto"/>
        <w:ind w:left="425.19685039370086" w:hanging="360"/>
      </w:pPr>
      <w:r w:rsidDel="00000000" w:rsidR="00000000" w:rsidRPr="00000000">
        <w:rPr>
          <w:b w:val="1"/>
          <w:rtl w:val="0"/>
        </w:rPr>
        <w:t xml:space="preserve">Microsoft Sustainability Calculator</w:t>
      </w:r>
      <w:r w:rsidDel="00000000" w:rsidR="00000000" w:rsidRPr="00000000">
        <w:rPr>
          <w:rtl w:val="0"/>
        </w:rPr>
        <w:t xml:space="preserve"> (</w:t>
      </w:r>
      <w:hyperlink r:id="rId18">
        <w:r w:rsidDel="00000000" w:rsidR="00000000" w:rsidRPr="00000000">
          <w:rPr>
            <w:color w:val="1155cc"/>
            <w:u w:val="single"/>
            <w:rtl w:val="0"/>
          </w:rPr>
          <w:t xml:space="preserve">Microsoft Cloud CO₂ Emissions</w:t>
        </w:r>
      </w:hyperlink>
      <w:r w:rsidDel="00000000" w:rsidR="00000000" w:rsidRPr="00000000">
        <w:rPr>
          <w:rtl w:val="0"/>
        </w:rPr>
        <w:t xml:space="preserve">)</w:t>
      </w:r>
    </w:p>
    <w:p w:rsidR="00000000" w:rsidDel="00000000" w:rsidP="00000000" w:rsidRDefault="00000000" w:rsidRPr="00000000" w14:paraId="00000060">
      <w:pPr>
        <w:numPr>
          <w:ilvl w:val="0"/>
          <w:numId w:val="5"/>
        </w:numPr>
        <w:spacing w:after="0" w:afterAutospacing="0" w:before="0" w:beforeAutospacing="0" w:lineRule="auto"/>
        <w:ind w:left="425.19685039370086" w:hanging="360"/>
      </w:pPr>
      <w:r w:rsidDel="00000000" w:rsidR="00000000" w:rsidRPr="00000000">
        <w:rPr>
          <w:b w:val="1"/>
          <w:rtl w:val="0"/>
        </w:rPr>
        <w:t xml:space="preserve">AWS Carbon Footprint Report</w:t>
      </w:r>
      <w:r w:rsidDel="00000000" w:rsidR="00000000" w:rsidRPr="00000000">
        <w:rPr>
          <w:rtl w:val="0"/>
        </w:rPr>
        <w:t xml:space="preserve"> (AWS Sustainability)</w:t>
      </w:r>
    </w:p>
    <w:p w:rsidR="00000000" w:rsidDel="00000000" w:rsidP="00000000" w:rsidRDefault="00000000" w:rsidRPr="00000000" w14:paraId="00000061">
      <w:pPr>
        <w:numPr>
          <w:ilvl w:val="0"/>
          <w:numId w:val="5"/>
        </w:numPr>
        <w:spacing w:after="240" w:before="0" w:beforeAutospacing="0" w:lineRule="auto"/>
        <w:ind w:left="425.19685039370086" w:hanging="360"/>
      </w:pPr>
      <w:r w:rsidDel="00000000" w:rsidR="00000000" w:rsidRPr="00000000">
        <w:rPr>
          <w:b w:val="1"/>
          <w:rtl w:val="0"/>
        </w:rPr>
        <w:t xml:space="preserve">International Energy Agency (IEA) Reports</w:t>
      </w:r>
      <w:r w:rsidDel="00000000" w:rsidR="00000000" w:rsidRPr="00000000">
        <w:rPr>
          <w:rtl w:val="0"/>
        </w:rPr>
        <w:t xml:space="preserve"> (IEA AI &amp; Energy)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Bdr>
          <w:top w:color="auto" w:space="7" w:sz="0" w:val="none"/>
          <w:left w:color="auto" w:space="0" w:sz="0" w:val="none"/>
          <w:bottom w:color="auto" w:space="7" w:sz="0" w:val="none"/>
          <w:right w:color="auto" w:space="0" w:sz="0" w:val="none"/>
          <w:between w:color="auto" w:space="7" w:sz="0" w:val="none"/>
        </w:pBdr>
        <w:shd w:fill="ffffff" w:val="clear"/>
        <w:rPr>
          <w:b w:val="1"/>
          <w:color w:val="222222"/>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570" w:hanging="28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109.05472" TargetMode="External"/><Relationship Id="rId10" Type="http://schemas.openxmlformats.org/officeDocument/2006/relationships/hyperlink" Target="https://dl.acm.org/doi/abs/10.1145/3630106.3658542" TargetMode="External"/><Relationship Id="rId13" Type="http://schemas.openxmlformats.org/officeDocument/2006/relationships/hyperlink" Target="https://dl.acm.org/doi/fullHtml/10.1145/3603746" TargetMode="External"/><Relationship Id="rId12" Type="http://schemas.openxmlformats.org/officeDocument/2006/relationships/hyperlink" Target="https://dl.acm.org/doi/abs/10.1145/3604930.36057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210537923000124" TargetMode="External"/><Relationship Id="rId15" Type="http://schemas.openxmlformats.org/officeDocument/2006/relationships/hyperlink" Target="https://puiij.com/index.php/research/article/view/39" TargetMode="External"/><Relationship Id="rId14" Type="http://schemas.openxmlformats.org/officeDocument/2006/relationships/hyperlink" Target="https://papers.ssrn.com/sol3/papers.cfm?abstract_id=5036344" TargetMode="External"/><Relationship Id="rId17" Type="http://schemas.openxmlformats.org/officeDocument/2006/relationships/hyperlink" Target="https://dl.acm.org/doi/abs/10.1145/3578337.3605121" TargetMode="External"/><Relationship Id="rId16" Type="http://schemas.openxmlformats.org/officeDocument/2006/relationships/hyperlink" Target="https://sustainability.biruni.edu.tr/sites/default/files/2024-05/Gupta%2C%20et%20al._AIs%20excessive%20water%20consumption.pdf" TargetMode="External"/><Relationship Id="rId5" Type="http://schemas.openxmlformats.org/officeDocument/2006/relationships/styles" Target="styles.xml"/><Relationship Id="rId6" Type="http://schemas.openxmlformats.org/officeDocument/2006/relationships/hyperlink" Target="https://ieeexplore.ieee.org/abstract/document/10363447" TargetMode="External"/><Relationship Id="rId18" Type="http://schemas.openxmlformats.org/officeDocument/2006/relationships/hyperlink" Target="https://www.microsoft.com/en-us/sustainability/emissions-impact-dashboard" TargetMode="External"/><Relationship Id="rId7" Type="http://schemas.openxmlformats.org/officeDocument/2006/relationships/hyperlink" Target="https://arxiv.org/abs/2205.09646" TargetMode="External"/><Relationship Id="rId8" Type="http://schemas.openxmlformats.org/officeDocument/2006/relationships/hyperlink" Target="https://arxiv.org/abs/2407.04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