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a3akmsg3h5e4" w:id="0"/>
      <w:bookmarkEnd w:id="0"/>
      <w:r w:rsidDel="00000000" w:rsidR="00000000" w:rsidRPr="00000000">
        <w:rPr>
          <w:rtl w:val="0"/>
        </w:rPr>
        <w:t xml:space="preserve">Prediction Model Building Process</w:t>
      </w:r>
    </w:p>
    <w:p w:rsidR="00000000" w:rsidDel="00000000" w:rsidP="00000000" w:rsidRDefault="00000000" w:rsidRPr="00000000" w14:paraId="00000002">
      <w:pPr>
        <w:pStyle w:val="Heading3"/>
        <w:rPr/>
      </w:pPr>
      <w:bookmarkStart w:colFirst="0" w:colLast="0" w:name="_lrm7ph7jgwao" w:id="1"/>
      <w:bookmarkEnd w:id="1"/>
      <w:r w:rsidDel="00000000" w:rsidR="00000000" w:rsidRPr="00000000">
        <w:rPr>
          <w:rtl w:val="0"/>
        </w:rPr>
        <w:t xml:space="preserve">Parameters planning</w:t>
      </w:r>
    </w:p>
    <w:p w:rsidR="00000000" w:rsidDel="00000000" w:rsidP="00000000" w:rsidRDefault="00000000" w:rsidRPr="00000000" w14:paraId="00000003">
      <w:pPr>
        <w:rPr/>
      </w:pPr>
      <w:r w:rsidDel="00000000" w:rsidR="00000000" w:rsidRPr="00000000">
        <w:rPr>
          <w:rtl w:val="0"/>
        </w:rPr>
        <w:t xml:space="preserve">The model needs specific, carefully chosen parameters to effectively capture the workload that an LLM (or other technologies) must manage for query processing. This workload is then expressed in terms of energy consumption, water usage, and carbon footprint.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most important factors that directly relate to this are,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Query length</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Query type (code gen, image analysis, image gen, doc analysis, etc..)</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Model name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Region of server that responds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No. of API calls (Gemini does this)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Part of the day at the data center (morning/afternoon/night)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Season present at data center area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Output of the model:</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Power consumption (in kWh)</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Water consumption (in L)</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CO2 emission (in Kg CO2)</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These outputs should then be mapped to real-world examples for easy understanding.</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Query Type prediction model:</w:t>
      </w:r>
    </w:p>
    <w:p w:rsidR="00000000" w:rsidDel="00000000" w:rsidP="00000000" w:rsidRDefault="00000000" w:rsidRPr="00000000" w14:paraId="00000016">
      <w:pPr>
        <w:ind w:left="0" w:firstLine="0"/>
        <w:rPr/>
      </w:pPr>
      <w:r w:rsidDel="00000000" w:rsidR="00000000" w:rsidRPr="00000000">
        <w:rPr>
          <w:rtl w:val="0"/>
        </w:rPr>
        <w:t xml:space="preserve">The query type of each query passed will be determined by a classification model that is trained on synthetic data that was generated from a real-world sample population collected from a survey. It uses Vertex AI’s AutoML model and gretle tool.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tiiuw161q583" w:id="2"/>
      <w:bookmarkEnd w:id="2"/>
      <w:r w:rsidDel="00000000" w:rsidR="00000000" w:rsidRPr="00000000">
        <w:rPr>
          <w:rtl w:val="0"/>
        </w:rPr>
        <w:t xml:space="preserve">Data Collection for Each Parameter</w:t>
      </w:r>
    </w:p>
    <w:p w:rsidR="00000000" w:rsidDel="00000000" w:rsidP="00000000" w:rsidRDefault="00000000" w:rsidRPr="00000000" w14:paraId="0000001A">
      <w:pPr>
        <w:spacing w:after="240" w:before="240" w:lineRule="auto"/>
        <w:rPr/>
      </w:pPr>
      <w:r w:rsidDel="00000000" w:rsidR="00000000" w:rsidRPr="00000000">
        <w:rPr>
          <w:rtl w:val="0"/>
        </w:rPr>
        <w:t xml:space="preserve">To ensure a comprehensive dataset for our model, we employ a combination of simulation, publicly available data, and reasonable assumptions.</w:t>
      </w:r>
    </w:p>
    <w:p w:rsidR="00000000" w:rsidDel="00000000" w:rsidP="00000000" w:rsidRDefault="00000000" w:rsidRPr="00000000" w14:paraId="0000001B">
      <w:pPr>
        <w:numPr>
          <w:ilvl w:val="0"/>
          <w:numId w:val="1"/>
        </w:numPr>
        <w:spacing w:after="0" w:afterAutospacing="0" w:before="240" w:lineRule="auto"/>
        <w:ind w:left="425.19685039370086" w:hanging="360"/>
      </w:pPr>
      <w:r w:rsidDel="00000000" w:rsidR="00000000" w:rsidRPr="00000000">
        <w:rPr>
          <w:b w:val="1"/>
          <w:rtl w:val="0"/>
        </w:rPr>
        <w:t xml:space="preserve">Query Length and Type</w:t>
      </w:r>
      <w:r w:rsidDel="00000000" w:rsidR="00000000" w:rsidRPr="00000000">
        <w:rPr>
          <w:rtl w:val="0"/>
        </w:rPr>
        <w:t xml:space="preserve">: Simulated using a range of predefined structures and randomly generated query formats.</w:t>
      </w:r>
    </w:p>
    <w:p w:rsidR="00000000" w:rsidDel="00000000" w:rsidP="00000000" w:rsidRDefault="00000000" w:rsidRPr="00000000" w14:paraId="0000001C">
      <w:pPr>
        <w:numPr>
          <w:ilvl w:val="0"/>
          <w:numId w:val="1"/>
        </w:numPr>
        <w:spacing w:after="0" w:afterAutospacing="0" w:before="0" w:beforeAutospacing="0" w:lineRule="auto"/>
        <w:ind w:left="425.19685039370086" w:hanging="360"/>
      </w:pPr>
      <w:r w:rsidDel="00000000" w:rsidR="00000000" w:rsidRPr="00000000">
        <w:rPr>
          <w:b w:val="1"/>
          <w:rtl w:val="0"/>
        </w:rPr>
        <w:t xml:space="preserve">Model Names</w:t>
      </w:r>
      <w:r w:rsidDel="00000000" w:rsidR="00000000" w:rsidRPr="00000000">
        <w:rPr>
          <w:rtl w:val="0"/>
        </w:rPr>
        <w:t xml:space="preserve">: Selected from a curated list of commonly used AI models.</w:t>
      </w:r>
    </w:p>
    <w:p w:rsidR="00000000" w:rsidDel="00000000" w:rsidP="00000000" w:rsidRDefault="00000000" w:rsidRPr="00000000" w14:paraId="0000001D">
      <w:pPr>
        <w:numPr>
          <w:ilvl w:val="0"/>
          <w:numId w:val="1"/>
        </w:numPr>
        <w:spacing w:after="240" w:before="0" w:beforeAutospacing="0" w:lineRule="auto"/>
        <w:ind w:left="425.19685039370086" w:hanging="360"/>
      </w:pPr>
      <w:r w:rsidDel="00000000" w:rsidR="00000000" w:rsidRPr="00000000">
        <w:rPr>
          <w:b w:val="1"/>
          <w:rtl w:val="0"/>
        </w:rPr>
        <w:t xml:space="preserve">Server Regions / Data Centers</w:t>
      </w:r>
      <w:r w:rsidDel="00000000" w:rsidR="00000000" w:rsidRPr="00000000">
        <w:rPr>
          <w:rtl w:val="0"/>
        </w:rPr>
        <w:t xml:space="preserve">: Extracted from publicly available datasets, such as those on Kaggle, or sourced from cloud provider documentation.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challenge is in simulating the corresponding outputs for each input. </w:t>
      </w:r>
    </w:p>
    <w:p w:rsidR="00000000" w:rsidDel="00000000" w:rsidP="00000000" w:rsidRDefault="00000000" w:rsidRPr="00000000" w14:paraId="00000020">
      <w:pPr>
        <w:rPr/>
      </w:pPr>
      <w:r w:rsidDel="00000000" w:rsidR="00000000" w:rsidRPr="00000000">
        <w:rPr>
          <w:rtl w:val="0"/>
        </w:rPr>
        <w:t xml:space="preserve">No information is available for predicting the output parameters. Cloud service providers did not provide open data on these metrics. So, we are making some assumptions and generalizations for predicting the outputs.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DISCLAIMER: </w:t>
      </w:r>
    </w:p>
    <w:p w:rsidR="00000000" w:rsidDel="00000000" w:rsidP="00000000" w:rsidRDefault="00000000" w:rsidRPr="00000000" w14:paraId="00000023">
      <w:pPr>
        <w:rPr/>
      </w:pPr>
      <w:r w:rsidDel="00000000" w:rsidR="00000000" w:rsidRPr="00000000">
        <w:rPr>
          <w:rtl w:val="0"/>
        </w:rPr>
        <w:t xml:space="preserve">The predicted sustainability metrics in this model—</w:t>
      </w:r>
      <w:r w:rsidDel="00000000" w:rsidR="00000000" w:rsidRPr="00000000">
        <w:rPr>
          <w:b w:val="1"/>
          <w:rtl w:val="0"/>
        </w:rPr>
        <w:t xml:space="preserve">power consumption, water footprint, and CO₂ emissions</w:t>
      </w:r>
      <w:r w:rsidDel="00000000" w:rsidR="00000000" w:rsidRPr="00000000">
        <w:rPr>
          <w:rtl w:val="0"/>
        </w:rPr>
        <w:t xml:space="preserve">—are </w:t>
      </w:r>
      <w:r w:rsidDel="00000000" w:rsidR="00000000" w:rsidRPr="00000000">
        <w:rPr>
          <w:b w:val="1"/>
          <w:rtl w:val="0"/>
        </w:rPr>
        <w:t xml:space="preserve">approximations </w:t>
      </w:r>
      <w:r w:rsidDel="00000000" w:rsidR="00000000" w:rsidRPr="00000000">
        <w:rPr>
          <w:rtl w:val="0"/>
        </w:rPr>
        <w:t xml:space="preserve">based on simulated data and estimations. These values </w:t>
      </w:r>
      <w:r w:rsidDel="00000000" w:rsidR="00000000" w:rsidRPr="00000000">
        <w:rPr>
          <w:b w:val="1"/>
          <w:rtl w:val="0"/>
        </w:rPr>
        <w:t xml:space="preserve">do not represent real-time or provider-specific measurements</w:t>
      </w:r>
      <w:r w:rsidDel="00000000" w:rsidR="00000000" w:rsidRPr="00000000">
        <w:rPr>
          <w:rtl w:val="0"/>
        </w:rPr>
        <w:t xml:space="preserve"> but serve as indicative benchmarks for understanding AI’s environmental impact.</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pStyle w:val="Heading3"/>
        <w:rPr/>
      </w:pPr>
      <w:bookmarkStart w:colFirst="0" w:colLast="0" w:name="_i83z4r36fxd4" w:id="3"/>
      <w:bookmarkEnd w:id="3"/>
      <w:r w:rsidDel="00000000" w:rsidR="00000000" w:rsidRPr="00000000">
        <w:rPr>
          <w:rtl w:val="0"/>
        </w:rPr>
        <w:t xml:space="preserve">Methods used to simulate output</w:t>
      </w:r>
    </w:p>
    <w:p w:rsidR="00000000" w:rsidDel="00000000" w:rsidP="00000000" w:rsidRDefault="00000000" w:rsidRPr="00000000" w14:paraId="00000026">
      <w:pPr>
        <w:rPr/>
      </w:pPr>
      <w:r w:rsidDel="00000000" w:rsidR="00000000" w:rsidRPr="00000000">
        <w:rPr>
          <w:rtl w:val="0"/>
        </w:rPr>
        <w:t xml:space="preserve">Using Publicly available data,</w:t>
      </w:r>
    </w:p>
    <w:p w:rsidR="00000000" w:rsidDel="00000000" w:rsidP="00000000" w:rsidRDefault="00000000" w:rsidRPr="00000000" w14:paraId="00000027">
      <w:pPr>
        <w:numPr>
          <w:ilvl w:val="0"/>
          <w:numId w:val="9"/>
        </w:numPr>
        <w:ind w:left="570" w:hanging="286.53543307086625"/>
        <w:rPr>
          <w:u w:val="none"/>
        </w:rPr>
      </w:pPr>
      <w:r w:rsidDel="00000000" w:rsidR="00000000" w:rsidRPr="00000000">
        <w:rPr>
          <w:rtl w:val="0"/>
        </w:rPr>
        <w:t xml:space="preserve">Google Cloud carbon footprint reports</w:t>
      </w:r>
    </w:p>
    <w:p w:rsidR="00000000" w:rsidDel="00000000" w:rsidP="00000000" w:rsidRDefault="00000000" w:rsidRPr="00000000" w14:paraId="00000028">
      <w:pPr>
        <w:numPr>
          <w:ilvl w:val="0"/>
          <w:numId w:val="9"/>
        </w:numPr>
        <w:ind w:left="570" w:hanging="286.53543307086625"/>
        <w:rPr>
          <w:u w:val="none"/>
        </w:rPr>
      </w:pPr>
      <w:r w:rsidDel="00000000" w:rsidR="00000000" w:rsidRPr="00000000">
        <w:rPr>
          <w:rtl w:val="0"/>
        </w:rPr>
        <w:t xml:space="preserve">Microsoft’s Sustainability Calculator</w:t>
      </w:r>
    </w:p>
    <w:p w:rsidR="00000000" w:rsidDel="00000000" w:rsidP="00000000" w:rsidRDefault="00000000" w:rsidRPr="00000000" w14:paraId="00000029">
      <w:pPr>
        <w:numPr>
          <w:ilvl w:val="0"/>
          <w:numId w:val="9"/>
        </w:numPr>
        <w:ind w:left="570" w:hanging="286.53543307086625"/>
        <w:rPr/>
      </w:pPr>
      <w:r w:rsidDel="00000000" w:rsidR="00000000" w:rsidRPr="00000000">
        <w:rPr>
          <w:rtl w:val="0"/>
        </w:rPr>
        <w:t xml:space="preserve">Top cloud service provider’s energy and sustainability reports</w:t>
      </w:r>
    </w:p>
    <w:p w:rsidR="00000000" w:rsidDel="00000000" w:rsidP="00000000" w:rsidRDefault="00000000" w:rsidRPr="00000000" w14:paraId="0000002A">
      <w:pPr>
        <w:numPr>
          <w:ilvl w:val="0"/>
          <w:numId w:val="9"/>
        </w:numPr>
        <w:ind w:left="570" w:hanging="286.53543307086625"/>
        <w:rPr>
          <w:u w:val="none"/>
        </w:rPr>
      </w:pPr>
      <w:r w:rsidDel="00000000" w:rsidR="00000000" w:rsidRPr="00000000">
        <w:rPr>
          <w:rtl w:val="0"/>
        </w:rPr>
        <w:t xml:space="preserve">Research papers on LLM energy usage</w:t>
      </w:r>
    </w:p>
    <w:p w:rsidR="00000000" w:rsidDel="00000000" w:rsidP="00000000" w:rsidRDefault="00000000" w:rsidRPr="00000000" w14:paraId="0000002B">
      <w:pPr>
        <w:numPr>
          <w:ilvl w:val="0"/>
          <w:numId w:val="9"/>
        </w:numPr>
        <w:ind w:left="570" w:hanging="286.53543307086625"/>
        <w:rPr>
          <w:u w:val="none"/>
        </w:rPr>
      </w:pPr>
      <w:r w:rsidDel="00000000" w:rsidR="00000000" w:rsidRPr="00000000">
        <w:rPr>
          <w:rtl w:val="0"/>
        </w:rPr>
        <w:t xml:space="preserve">Stanford AI index report</w:t>
      </w:r>
    </w:p>
    <w:p w:rsidR="00000000" w:rsidDel="00000000" w:rsidP="00000000" w:rsidRDefault="00000000" w:rsidRPr="00000000" w14:paraId="0000002C">
      <w:pPr>
        <w:numPr>
          <w:ilvl w:val="0"/>
          <w:numId w:val="9"/>
        </w:numPr>
        <w:ind w:left="570" w:hanging="286.53543307086625"/>
        <w:rPr>
          <w:u w:val="none"/>
        </w:rPr>
      </w:pPr>
      <w:r w:rsidDel="00000000" w:rsidR="00000000" w:rsidRPr="00000000">
        <w:rPr>
          <w:rtl w:val="0"/>
        </w:rPr>
        <w:t xml:space="preserve">Open-source datasets available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3"/>
        <w:rPr/>
      </w:pPr>
      <w:bookmarkStart w:colFirst="0" w:colLast="0" w:name="_ssgilhyqz7jf" w:id="4"/>
      <w:bookmarkEnd w:id="4"/>
      <w:r w:rsidDel="00000000" w:rsidR="00000000" w:rsidRPr="00000000">
        <w:rPr>
          <w:rtl w:val="0"/>
        </w:rPr>
        <w:t xml:space="preserve">Research Papers to analyze</w:t>
      </w:r>
    </w:p>
    <w:p w:rsidR="00000000" w:rsidDel="00000000" w:rsidP="00000000" w:rsidRDefault="00000000" w:rsidRPr="00000000" w14:paraId="0000002F">
      <w:pPr>
        <w:rPr/>
      </w:pPr>
      <w:r w:rsidDel="00000000" w:rsidR="00000000" w:rsidRPr="00000000">
        <w:rPr>
          <w:rtl w:val="0"/>
        </w:rPr>
        <w:t xml:space="preserve">Power consumption</w:t>
      </w:r>
      <w:r w:rsidDel="00000000" w:rsidR="00000000" w:rsidRPr="00000000">
        <w:rPr>
          <w:rtl w:val="0"/>
        </w:rPr>
      </w:r>
    </w:p>
    <w:p w:rsidR="00000000" w:rsidDel="00000000" w:rsidP="00000000" w:rsidRDefault="00000000" w:rsidRPr="00000000" w14:paraId="00000030">
      <w:pPr>
        <w:rPr/>
      </w:pPr>
      <w:hyperlink r:id="rId6">
        <w:r w:rsidDel="00000000" w:rsidR="00000000" w:rsidRPr="00000000">
          <w:rPr>
            <w:color w:val="1155cc"/>
            <w:u w:val="single"/>
            <w:rtl w:val="0"/>
          </w:rPr>
          <w:t xml:space="preserve">https://ieeexplore.ieee.org/abstract/document/10363447</w:t>
        </w:r>
      </w:hyperlink>
      <w:r w:rsidDel="00000000" w:rsidR="00000000" w:rsidRPr="00000000">
        <w:rPr>
          <w:rtl w:val="0"/>
        </w:rPr>
      </w:r>
    </w:p>
    <w:p w:rsidR="00000000" w:rsidDel="00000000" w:rsidP="00000000" w:rsidRDefault="00000000" w:rsidRPr="00000000" w14:paraId="00000031">
      <w:pPr>
        <w:rPr/>
      </w:pPr>
      <w:hyperlink r:id="rId7">
        <w:r w:rsidDel="00000000" w:rsidR="00000000" w:rsidRPr="00000000">
          <w:rPr>
            <w:color w:val="1155cc"/>
            <w:u w:val="single"/>
            <w:rtl w:val="0"/>
          </w:rPr>
          <w:t xml:space="preserve">https://arxiv.org/abs/2205.09646</w:t>
        </w:r>
      </w:hyperlink>
      <w:r w:rsidDel="00000000" w:rsidR="00000000" w:rsidRPr="00000000">
        <w:rPr>
          <w:rtl w:val="0"/>
        </w:rPr>
      </w:r>
    </w:p>
    <w:p w:rsidR="00000000" w:rsidDel="00000000" w:rsidP="00000000" w:rsidRDefault="00000000" w:rsidRPr="00000000" w14:paraId="00000032">
      <w:pPr>
        <w:rPr/>
      </w:pPr>
      <w:hyperlink r:id="rId8">
        <w:r w:rsidDel="00000000" w:rsidR="00000000" w:rsidRPr="00000000">
          <w:rPr>
            <w:color w:val="1155cc"/>
            <w:u w:val="single"/>
            <w:rtl w:val="0"/>
          </w:rPr>
          <w:t xml:space="preserve">https://arxiv.org/abs/2407.04014</w:t>
        </w:r>
      </w:hyperlink>
      <w:r w:rsidDel="00000000" w:rsidR="00000000" w:rsidRPr="00000000">
        <w:rPr>
          <w:rtl w:val="0"/>
        </w:rPr>
      </w:r>
    </w:p>
    <w:p w:rsidR="00000000" w:rsidDel="00000000" w:rsidP="00000000" w:rsidRDefault="00000000" w:rsidRPr="00000000" w14:paraId="00000033">
      <w:pPr>
        <w:rPr/>
      </w:pPr>
      <w:hyperlink r:id="rId9">
        <w:r w:rsidDel="00000000" w:rsidR="00000000" w:rsidRPr="00000000">
          <w:rPr>
            <w:color w:val="1155cc"/>
            <w:u w:val="single"/>
            <w:rtl w:val="0"/>
          </w:rPr>
          <w:t xml:space="preserve">https://www.sciencedirect.com/science/article/pii/S2210537923000124</w:t>
        </w:r>
      </w:hyperlink>
      <w:r w:rsidDel="00000000" w:rsidR="00000000" w:rsidRPr="00000000">
        <w:rPr>
          <w:rtl w:val="0"/>
        </w:rPr>
      </w:r>
    </w:p>
    <w:p w:rsidR="00000000" w:rsidDel="00000000" w:rsidP="00000000" w:rsidRDefault="00000000" w:rsidRPr="00000000" w14:paraId="00000034">
      <w:pPr>
        <w:rPr/>
      </w:pPr>
      <w:hyperlink r:id="rId10">
        <w:r w:rsidDel="00000000" w:rsidR="00000000" w:rsidRPr="00000000">
          <w:rPr>
            <w:color w:val="1155cc"/>
            <w:u w:val="single"/>
            <w:rtl w:val="0"/>
          </w:rPr>
          <w:t xml:space="preserve">https://dl.acm.org/doi/abs/10.1145/3630106.3658542</w:t>
        </w:r>
      </w:hyperlink>
      <w:r w:rsidDel="00000000" w:rsidR="00000000" w:rsidRPr="00000000">
        <w:rPr>
          <w:rtl w:val="0"/>
        </w:rPr>
      </w:r>
    </w:p>
    <w:p w:rsidR="00000000" w:rsidDel="00000000" w:rsidP="00000000" w:rsidRDefault="00000000" w:rsidRPr="00000000" w14:paraId="00000035">
      <w:pPr>
        <w:rPr/>
      </w:pPr>
      <w:hyperlink r:id="rId11">
        <w:r w:rsidDel="00000000" w:rsidR="00000000" w:rsidRPr="00000000">
          <w:rPr>
            <w:color w:val="1155cc"/>
            <w:u w:val="single"/>
            <w:rtl w:val="0"/>
          </w:rPr>
          <w:t xml:space="preserve">https://arxiv.org/abs/2109.05472</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Carbon Footprint analysis</w:t>
      </w:r>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https://dl.acm.org/doi/abs/10.1145/3604930.3605705</w:t>
        </w:r>
      </w:hyperlink>
      <w:r w:rsidDel="00000000" w:rsidR="00000000" w:rsidRPr="00000000">
        <w:rPr>
          <w:rtl w:val="0"/>
        </w:rPr>
      </w:r>
    </w:p>
    <w:p w:rsidR="00000000" w:rsidDel="00000000" w:rsidP="00000000" w:rsidRDefault="00000000" w:rsidRPr="00000000" w14:paraId="00000039">
      <w:pPr>
        <w:rPr/>
      </w:pPr>
      <w:hyperlink r:id="rId13">
        <w:r w:rsidDel="00000000" w:rsidR="00000000" w:rsidRPr="00000000">
          <w:rPr>
            <w:color w:val="1155cc"/>
            <w:u w:val="single"/>
            <w:rtl w:val="0"/>
          </w:rPr>
          <w:t xml:space="preserve">https://dl.acm.org/doi/fullHtml/10.1145/3603746</w:t>
        </w:r>
      </w:hyperlink>
      <w:r w:rsidDel="00000000" w:rsidR="00000000" w:rsidRPr="00000000">
        <w:rPr>
          <w:rtl w:val="0"/>
        </w:rPr>
      </w:r>
    </w:p>
    <w:p w:rsidR="00000000" w:rsidDel="00000000" w:rsidP="00000000" w:rsidRDefault="00000000" w:rsidRPr="00000000" w14:paraId="0000003A">
      <w:pPr>
        <w:rPr/>
      </w:pPr>
      <w:hyperlink r:id="rId14">
        <w:r w:rsidDel="00000000" w:rsidR="00000000" w:rsidRPr="00000000">
          <w:rPr>
            <w:color w:val="1155cc"/>
            <w:u w:val="single"/>
            <w:rtl w:val="0"/>
          </w:rPr>
          <w:t xml:space="preserve">https://papers.ssrn.com/sol3/papers.cfm?abstract_id=5036344</w:t>
        </w:r>
      </w:hyperlink>
      <w:r w:rsidDel="00000000" w:rsidR="00000000" w:rsidRPr="00000000">
        <w:rPr>
          <w:rtl w:val="0"/>
        </w:rPr>
      </w:r>
    </w:p>
    <w:p w:rsidR="00000000" w:rsidDel="00000000" w:rsidP="00000000" w:rsidRDefault="00000000" w:rsidRPr="00000000" w14:paraId="0000003B">
      <w:pPr>
        <w:rPr/>
      </w:pPr>
      <w:hyperlink r:id="rId15">
        <w:r w:rsidDel="00000000" w:rsidR="00000000" w:rsidRPr="00000000">
          <w:rPr>
            <w:color w:val="1155cc"/>
            <w:u w:val="single"/>
            <w:rtl w:val="0"/>
          </w:rPr>
          <w:t xml:space="preserve">https://arxiv.org/pdf/2309.14393</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Water consumption</w:t>
      </w:r>
    </w:p>
    <w:p w:rsidR="00000000" w:rsidDel="00000000" w:rsidP="00000000" w:rsidRDefault="00000000" w:rsidRPr="00000000" w14:paraId="0000003F">
      <w:pPr>
        <w:rPr/>
      </w:pPr>
      <w:hyperlink r:id="rId16">
        <w:r w:rsidDel="00000000" w:rsidR="00000000" w:rsidRPr="00000000">
          <w:rPr>
            <w:color w:val="1155cc"/>
            <w:u w:val="single"/>
            <w:rtl w:val="0"/>
          </w:rPr>
          <w:t xml:space="preserve">https://puiij.com/index.php/research/article/view/39</w:t>
        </w:r>
      </w:hyperlink>
      <w:r w:rsidDel="00000000" w:rsidR="00000000" w:rsidRPr="00000000">
        <w:rPr>
          <w:rtl w:val="0"/>
        </w:rPr>
      </w:r>
    </w:p>
    <w:p w:rsidR="00000000" w:rsidDel="00000000" w:rsidP="00000000" w:rsidRDefault="00000000" w:rsidRPr="00000000" w14:paraId="00000040">
      <w:pPr>
        <w:rPr/>
      </w:pPr>
      <w:hyperlink r:id="rId17">
        <w:r w:rsidDel="00000000" w:rsidR="00000000" w:rsidRPr="00000000">
          <w:rPr>
            <w:color w:val="1155cc"/>
            <w:u w:val="single"/>
            <w:rtl w:val="0"/>
          </w:rPr>
          <w:t xml:space="preserve">https://sustainability.biruni.edu.tr/sites/default/files/2024-05/Gupta%2C%20et%20al._AIs%20excessive%20water%20consumption.pdf</w:t>
        </w:r>
      </w:hyperlink>
      <w:r w:rsidDel="00000000" w:rsidR="00000000" w:rsidRPr="00000000">
        <w:rPr>
          <w:rtl w:val="0"/>
        </w:rPr>
      </w:r>
    </w:p>
    <w:p w:rsidR="00000000" w:rsidDel="00000000" w:rsidP="00000000" w:rsidRDefault="00000000" w:rsidRPr="00000000" w14:paraId="00000041">
      <w:pPr>
        <w:rPr/>
      </w:pPr>
      <w:hyperlink r:id="rId18">
        <w:r w:rsidDel="00000000" w:rsidR="00000000" w:rsidRPr="00000000">
          <w:rPr>
            <w:color w:val="1155cc"/>
            <w:u w:val="single"/>
            <w:rtl w:val="0"/>
          </w:rPr>
          <w:t xml:space="preserve">https://dl.acm.org/doi/abs/10.1145/3578337.3605121</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y5jn6r8xmc9g" w:id="5"/>
      <w:bookmarkEnd w:id="5"/>
      <w:r w:rsidDel="00000000" w:rsidR="00000000" w:rsidRPr="00000000">
        <w:rPr>
          <w:rtl w:val="0"/>
        </w:rPr>
        <w:t xml:space="preserve">Inference from research papers</w:t>
      </w:r>
    </w:p>
    <w:p w:rsidR="00000000" w:rsidDel="00000000" w:rsidP="00000000" w:rsidRDefault="00000000" w:rsidRPr="00000000" w14:paraId="00000044">
      <w:pPr>
        <w:rPr/>
      </w:pPr>
      <w:r w:rsidDel="00000000" w:rsidR="00000000" w:rsidRPr="00000000">
        <w:rPr>
          <w:rtl w:val="0"/>
        </w:rPr>
        <w:t xml:space="preserve">For LLaMA model, which is similar to chatGPT3</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65B (65 billion parameters, 80 layers, 8192 dimensions)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words/sec or response/second </w:t>
      </w:r>
      <w:r w:rsidDel="00000000" w:rsidR="00000000" w:rsidRPr="00000000">
        <w:rPr>
          <w:b w:val="1"/>
          <w:rtl w:val="0"/>
        </w:rPr>
        <w:t xml:space="preserve">inversely proportional </w:t>
      </w:r>
      <w:r w:rsidDel="00000000" w:rsidR="00000000" w:rsidRPr="00000000">
        <w:rPr>
          <w:rtl w:val="0"/>
        </w:rPr>
        <w:t xml:space="preserve">to model parameter size</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Advanced hardware (A100 GPUs) </w:t>
      </w:r>
      <w:r w:rsidDel="00000000" w:rsidR="00000000" w:rsidRPr="00000000">
        <w:rPr>
          <w:b w:val="1"/>
          <w:rtl w:val="0"/>
        </w:rPr>
        <w:t xml:space="preserve">proportional </w:t>
      </w:r>
      <w:r w:rsidDel="00000000" w:rsidR="00000000" w:rsidRPr="00000000">
        <w:rPr>
          <w:rtl w:val="0"/>
        </w:rPr>
        <w:t xml:space="preserve">to energy usage but less response time</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On bare minimum hardware settings,</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65B: 460 W/sec (approx.)</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13B: 380 W/sec (approx.)</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7B: 200W/sec (approx.)</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On best case,</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Approximately 1000W/sec</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Model training of chatGPT - 1300MWh (approx.)</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Datacenter PUE:</w:t>
      </w:r>
    </w:p>
    <w:p w:rsidR="00000000" w:rsidDel="00000000" w:rsidP="00000000" w:rsidRDefault="00000000" w:rsidRPr="00000000" w14:paraId="00000052">
      <w:pPr>
        <w:ind w:left="0" w:firstLine="0"/>
        <w:rPr/>
      </w:pPr>
      <w:r w:rsidDel="00000000" w:rsidR="00000000" w:rsidRPr="00000000">
        <w:rPr>
          <w:rtl w:val="0"/>
        </w:rPr>
        <w:t xml:space="preserve">PUE = (FE+ITE)/ITE,  FE - facility energy; ITE - information tech. Energy</w:t>
      </w:r>
    </w:p>
    <w:p w:rsidR="00000000" w:rsidDel="00000000" w:rsidP="00000000" w:rsidRDefault="00000000" w:rsidRPr="00000000" w14:paraId="00000053">
      <w:pPr>
        <w:ind w:left="0" w:firstLine="0"/>
        <w:rPr/>
      </w:pPr>
      <w:r w:rsidDel="00000000" w:rsidR="00000000" w:rsidRPr="00000000">
        <w:rPr>
          <w:rtl w:val="0"/>
        </w:rPr>
        <w:t xml:space="preserve">PUE high during afternoons and summers</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PUE = 1.6 (afternoons) ; PUE = 1.2 (night)</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PUE = 1.3 to 1.4 during summer</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Major datacenter like google and other, PUE = 1.1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GFLOPs are more useful in compute than no. of parameters</w:t>
      </w:r>
    </w:p>
    <w:p w:rsidR="00000000" w:rsidDel="00000000" w:rsidP="00000000" w:rsidRDefault="00000000" w:rsidRPr="00000000" w14:paraId="00000059">
      <w:pPr>
        <w:rPr/>
      </w:pPr>
      <w:r w:rsidDel="00000000" w:rsidR="00000000" w:rsidRPr="00000000">
        <w:rPr>
          <w:rtl w:val="0"/>
        </w:rPr>
        <w:t xml:space="preserve">Correlation between GFLOPs and # of parameters</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Transformers - 0.994</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CNNs - 0.772</w:t>
      </w:r>
    </w:p>
    <w:p w:rsidR="00000000" w:rsidDel="00000000" w:rsidP="00000000" w:rsidRDefault="00000000" w:rsidRPr="00000000" w14:paraId="0000005C">
      <w:pPr>
        <w:ind w:left="0" w:firstLine="0"/>
        <w:rPr/>
      </w:pPr>
      <w:r w:rsidDel="00000000" w:rsidR="00000000" w:rsidRPr="00000000">
        <w:rPr>
          <w:rtl w:val="0"/>
        </w:rPr>
        <w:t xml:space="preserve">Top 1-accuracy models have GFLOPs around 50 to 100(0.3 to 1 Joule)</w:t>
      </w:r>
    </w:p>
    <w:p w:rsidR="00000000" w:rsidDel="00000000" w:rsidP="00000000" w:rsidRDefault="00000000" w:rsidRPr="00000000" w14:paraId="0000005D">
      <w:pPr>
        <w:ind w:left="0" w:firstLine="0"/>
        <w:rPr/>
      </w:pPr>
      <w:r w:rsidDel="00000000" w:rsidR="00000000" w:rsidRPr="00000000">
        <w:rPr>
          <w:rtl w:val="0"/>
        </w:rPr>
        <w:t xml:space="preserve">Very high accuracy (85% - 90%) - around 1000 GFLOPs(30 Joules)</w:t>
        <w:br w:type="textWrapping"/>
        <w:br w:type="textWrapping"/>
        <w:t xml:space="preserve">Tokens play an important role in energy consumption</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Input tokens (8 tokens -&gt; 80J/token ; 2^11 tokens -&gt; 20J/token)</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Output tokens (8 tokens -&gt; 10J/token ; 2^11 tokens -&gt; 700J/token)</w:t>
      </w:r>
    </w:p>
    <w:p w:rsidR="00000000" w:rsidDel="00000000" w:rsidP="00000000" w:rsidRDefault="00000000" w:rsidRPr="00000000" w14:paraId="00000060">
      <w:pPr>
        <w:ind w:left="0" w:firstLine="0"/>
        <w:rPr/>
      </w:pPr>
      <w:r w:rsidDel="00000000" w:rsidR="00000000" w:rsidRPr="00000000">
        <w:rPr>
          <w:rtl w:val="0"/>
        </w:rPr>
        <w:t xml:space="preserve">Output tokens play a crucial role in energy consumption.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 number of parameters is usually reported, but it is not directly proportional to compute. For instance, in </w:t>
      </w:r>
      <w:hyperlink r:id="rId19">
        <w:r w:rsidDel="00000000" w:rsidR="00000000" w:rsidRPr="00000000">
          <w:rPr>
            <w:rFonts w:ascii="Georgia" w:cs="Georgia" w:eastAsia="Georgia" w:hAnsi="Georgia"/>
            <w:color w:val="1f1f1f"/>
            <w:sz w:val="24"/>
            <w:szCs w:val="24"/>
            <w:u w:val="single"/>
            <w:rtl w:val="0"/>
          </w:rPr>
          <w:t xml:space="preserve">CNNs</w:t>
        </w:r>
      </w:hyperlink>
      <w:r w:rsidDel="00000000" w:rsidR="00000000" w:rsidRPr="00000000">
        <w:rPr>
          <w:rFonts w:ascii="Georgia" w:cs="Georgia" w:eastAsia="Georgia" w:hAnsi="Georgia"/>
          <w:color w:val="1f1f1f"/>
          <w:sz w:val="24"/>
          <w:szCs w:val="24"/>
          <w:rtl w:val="0"/>
        </w:rPr>
        <w:t xml:space="preserve">, convolution operations dominate the computation: if </w:t>
      </w:r>
      <w:r w:rsidDel="00000000" w:rsidR="00000000" w:rsidRPr="00000000">
        <w:rPr>
          <w:rFonts w:ascii="Georgia" w:cs="Georgia" w:eastAsia="Georgia" w:hAnsi="Georgia"/>
          <w:color w:val="1f1f1f"/>
          <w:rtl w:val="0"/>
        </w:rPr>
        <w:t xml:space="preserve">𝑑</w:t>
      </w:r>
      <w:r w:rsidDel="00000000" w:rsidR="00000000" w:rsidRPr="00000000">
        <w:rPr>
          <w:rFonts w:ascii="Georgia" w:cs="Georgia" w:eastAsia="Georgia" w:hAnsi="Georgia"/>
          <w:color w:val="1f1f1f"/>
          <w:sz w:val="24"/>
          <w:szCs w:val="24"/>
          <w:rtl w:val="0"/>
        </w:rPr>
        <w:t xml:space="preserve">, </w:t>
      </w:r>
      <w:r w:rsidDel="00000000" w:rsidR="00000000" w:rsidRPr="00000000">
        <w:rPr>
          <w:rFonts w:ascii="Georgia" w:cs="Georgia" w:eastAsia="Georgia" w:hAnsi="Georgia"/>
          <w:color w:val="1f1f1f"/>
          <w:rtl w:val="0"/>
        </w:rPr>
        <w:t xml:space="preserve">𝑤</w:t>
      </w:r>
      <w:r w:rsidDel="00000000" w:rsidR="00000000" w:rsidRPr="00000000">
        <w:rPr>
          <w:rFonts w:ascii="Georgia" w:cs="Georgia" w:eastAsia="Georgia" w:hAnsi="Georgia"/>
          <w:color w:val="1f1f1f"/>
          <w:sz w:val="24"/>
          <w:szCs w:val="24"/>
          <w:rtl w:val="0"/>
        </w:rPr>
        <w:t xml:space="preserve"> and </w:t>
      </w:r>
      <w:r w:rsidDel="00000000" w:rsidR="00000000" w:rsidRPr="00000000">
        <w:rPr>
          <w:rFonts w:ascii="Georgia" w:cs="Georgia" w:eastAsia="Georgia" w:hAnsi="Georgia"/>
          <w:color w:val="1f1f1f"/>
          <w:rtl w:val="0"/>
        </w:rPr>
        <w:t xml:space="preserve">𝑟</w:t>
      </w:r>
      <w:r w:rsidDel="00000000" w:rsidR="00000000" w:rsidRPr="00000000">
        <w:rPr>
          <w:rFonts w:ascii="Georgia" w:cs="Georgia" w:eastAsia="Georgia" w:hAnsi="Georgia"/>
          <w:color w:val="1f1f1f"/>
          <w:sz w:val="24"/>
          <w:szCs w:val="24"/>
          <w:rtl w:val="0"/>
        </w:rPr>
        <w:t xml:space="preserve"> represent the network’s depth, width and input resolution, the FLOPs grow following the relation:</w:t>
      </w:r>
    </w:p>
    <w:p w:rsidR="00000000" w:rsidDel="00000000" w:rsidP="00000000" w:rsidRDefault="00000000" w:rsidRPr="00000000" w14:paraId="00000063">
      <w:pPr>
        <w:rPr>
          <w:rFonts w:ascii="Georgia" w:cs="Georgia" w:eastAsia="Georgia" w:hAnsi="Georgia"/>
          <w:color w:val="1f1f1f"/>
        </w:rPr>
      </w:pPr>
      <w:r w:rsidDel="00000000" w:rsidR="00000000" w:rsidRPr="00000000">
        <w:rPr>
          <w:rFonts w:ascii="Georgia" w:cs="Georgia" w:eastAsia="Georgia" w:hAnsi="Georgia"/>
          <w:color w:val="1f1f1f"/>
          <w:rtl w:val="0"/>
        </w:rPr>
        <w:t xml:space="preserve">FLOPs ∝ 𝑑+𝑤^2+𝑟^2</w:t>
      </w:r>
    </w:p>
    <w:p w:rsidR="00000000" w:rsidDel="00000000" w:rsidP="00000000" w:rsidRDefault="00000000" w:rsidRPr="00000000" w14:paraId="00000064">
      <w:pPr>
        <w:rPr>
          <w:rFonts w:ascii="Georgia" w:cs="Georgia" w:eastAsia="Georgia" w:hAnsi="Georgia"/>
          <w:color w:val="1f1f1f"/>
        </w:rPr>
      </w:pPr>
      <w:r w:rsidDel="00000000" w:rsidR="00000000" w:rsidRPr="00000000">
        <w:rPr>
          <w:rtl w:val="0"/>
        </w:rPr>
      </w:r>
    </w:p>
    <w:p w:rsidR="00000000" w:rsidDel="00000000" w:rsidP="00000000" w:rsidRDefault="00000000" w:rsidRPr="00000000" w14:paraId="00000065">
      <w:pPr>
        <w:rPr>
          <w:rFonts w:ascii="Georgia" w:cs="Georgia" w:eastAsia="Georgia" w:hAnsi="Georgia"/>
          <w:color w:val="1f1f1f"/>
        </w:rPr>
      </w:pPr>
      <w:r w:rsidDel="00000000" w:rsidR="00000000" w:rsidRPr="00000000">
        <w:rPr>
          <w:rtl w:val="0"/>
        </w:rPr>
      </w:r>
    </w:p>
    <w:p w:rsidR="00000000" w:rsidDel="00000000" w:rsidP="00000000" w:rsidRDefault="00000000" w:rsidRPr="00000000" w14:paraId="00000066">
      <w:pPr>
        <w:rPr>
          <w:rFonts w:ascii="Georgia" w:cs="Georgia" w:eastAsia="Georgia" w:hAnsi="Georgia"/>
          <w:color w:val="1f1f1f"/>
        </w:rPr>
      </w:pPr>
      <w:r w:rsidDel="00000000" w:rsidR="00000000" w:rsidRPr="00000000">
        <w:rPr>
          <w:rFonts w:ascii="Georgia" w:cs="Georgia" w:eastAsia="Georgia" w:hAnsi="Georgia"/>
          <w:color w:val="1f1f1f"/>
          <w:rtl w:val="0"/>
        </w:rPr>
        <w:t xml:space="preserve">inference energy (kWh)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Georgia" w:cs="Georgia" w:eastAsia="Georgia" w:hAnsi="Georgia"/>
                <w:color w:val="1f1f1f"/>
              </w:rPr>
            </w:pPr>
            <w:r w:rsidDel="00000000" w:rsidR="00000000" w:rsidRPr="00000000">
              <w:rPr>
                <w:rFonts w:ascii="Georgia" w:cs="Georgia" w:eastAsia="Georgia" w:hAnsi="Georgia"/>
                <w:color w:val="1f1f1f"/>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Georgia" w:cs="Georgia" w:eastAsia="Georgia" w:hAnsi="Georgia"/>
                <w:color w:val="1f1f1f"/>
              </w:rPr>
            </w:pPr>
            <w:r w:rsidDel="00000000" w:rsidR="00000000" w:rsidRPr="00000000">
              <w:rPr>
                <w:rFonts w:ascii="Georgia" w:cs="Georgia" w:eastAsia="Georgia" w:hAnsi="Georgia"/>
                <w:color w:val="1f1f1f"/>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Georgia" w:cs="Georgia" w:eastAsia="Georgia" w:hAnsi="Georgia"/>
                <w:color w:val="1f1f1f"/>
              </w:rPr>
            </w:pPr>
            <w:r w:rsidDel="00000000" w:rsidR="00000000" w:rsidRPr="00000000">
              <w:rPr>
                <w:rFonts w:ascii="Georgia" w:cs="Georgia" w:eastAsia="Georgia" w:hAnsi="Georgia"/>
                <w:color w:val="1f1f1f"/>
                <w:rtl w:val="0"/>
              </w:rPr>
              <w:t xml:space="preserve">Std.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Georgia" w:cs="Georgia" w:eastAsia="Georgia" w:hAnsi="Georgia"/>
                <w:color w:val="1f1f1f"/>
              </w:rPr>
            </w:pPr>
            <w:r w:rsidDel="00000000" w:rsidR="00000000" w:rsidRPr="00000000">
              <w:rPr>
                <w:rFonts w:ascii="Georgia" w:cs="Georgia" w:eastAsia="Georgia" w:hAnsi="Georgia"/>
                <w:color w:val="1f1f1f"/>
                <w:rtl w:val="0"/>
              </w:rPr>
              <w:t xml:space="preserve">text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Georgia" w:cs="Georgia" w:eastAsia="Georgia" w:hAnsi="Georgia"/>
                <w:color w:val="1f1f1f"/>
              </w:rPr>
            </w:pPr>
            <w:r w:rsidDel="00000000" w:rsidR="00000000" w:rsidRPr="00000000">
              <w:rPr>
                <w:rFonts w:ascii="Georgia" w:cs="Georgia" w:eastAsia="Georgia" w:hAnsi="Georgia"/>
                <w:color w:val="1f1f1f"/>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Georgia" w:cs="Georgia" w:eastAsia="Georgia" w:hAnsi="Georgia"/>
                <w:color w:val="1f1f1f"/>
              </w:rPr>
            </w:pPr>
            <w:r w:rsidDel="00000000" w:rsidR="00000000" w:rsidRPr="00000000">
              <w:rPr>
                <w:rFonts w:ascii="Georgia" w:cs="Georgia" w:eastAsia="Georgia" w:hAnsi="Georgia"/>
                <w:color w:val="1f1f1f"/>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Georgia" w:cs="Georgia" w:eastAsia="Georgia" w:hAnsi="Georgia"/>
                <w:color w:val="1f1f1f"/>
              </w:rPr>
            </w:pPr>
            <w:r w:rsidDel="00000000" w:rsidR="00000000" w:rsidRPr="00000000">
              <w:rPr>
                <w:rFonts w:ascii="Georgia" w:cs="Georgia" w:eastAsia="Georgia" w:hAnsi="Georgia"/>
                <w:color w:val="1f1f1f"/>
                <w:rtl w:val="0"/>
              </w:rPr>
              <w:t xml:space="preserve">extractive 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Georgia" w:cs="Georgia" w:eastAsia="Georgia" w:hAnsi="Georgia"/>
                <w:color w:val="1f1f1f"/>
              </w:rPr>
            </w:pPr>
            <w:r w:rsidDel="00000000" w:rsidR="00000000" w:rsidRPr="00000000">
              <w:rPr>
                <w:rFonts w:ascii="Georgia" w:cs="Georgia" w:eastAsia="Georgia" w:hAnsi="Georgia"/>
                <w:color w:val="1f1f1f"/>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Georgia" w:cs="Georgia" w:eastAsia="Georgia" w:hAnsi="Georgia"/>
                <w:color w:val="1f1f1f"/>
              </w:rPr>
            </w:pPr>
            <w:r w:rsidDel="00000000" w:rsidR="00000000" w:rsidRPr="00000000">
              <w:rPr>
                <w:rFonts w:ascii="Georgia" w:cs="Georgia" w:eastAsia="Georgia" w:hAnsi="Georgia"/>
                <w:color w:val="1f1f1f"/>
                <w:rtl w:val="0"/>
              </w:rPr>
              <w:t xml:space="preserve">masked language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Georgia" w:cs="Georgia" w:eastAsia="Georgia" w:hAnsi="Georgia"/>
                <w:color w:val="1f1f1f"/>
              </w:rPr>
            </w:pPr>
            <w:r w:rsidDel="00000000" w:rsidR="00000000" w:rsidRPr="00000000">
              <w:rPr>
                <w:rFonts w:ascii="Georgia" w:cs="Georgia" w:eastAsia="Georgia" w:hAnsi="Georgia"/>
                <w:color w:val="1f1f1f"/>
                <w:rtl w:val="0"/>
              </w:rPr>
              <w:t xml:space="preserve">token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Georgia" w:cs="Georgia" w:eastAsia="Georgia" w:hAnsi="Georgia"/>
                <w:color w:val="1f1f1f"/>
              </w:rPr>
            </w:pPr>
            <w:r w:rsidDel="00000000" w:rsidR="00000000" w:rsidRPr="00000000">
              <w:rPr>
                <w:rFonts w:ascii="Georgia" w:cs="Georgia" w:eastAsia="Georgia" w:hAnsi="Georgia"/>
                <w:color w:val="1f1f1f"/>
                <w:rtl w:val="0"/>
              </w:rPr>
              <w:t xml:space="preserve">image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Georgia" w:cs="Georgia" w:eastAsia="Georgia" w:hAnsi="Georgia"/>
                <w:color w:val="1f1f1f"/>
              </w:rPr>
            </w:pPr>
            <w:r w:rsidDel="00000000" w:rsidR="00000000" w:rsidRPr="00000000">
              <w:rPr>
                <w:rFonts w:ascii="Georgia" w:cs="Georgia" w:eastAsia="Georgia" w:hAnsi="Georgia"/>
                <w:color w:val="1f1f1f"/>
                <w:rtl w:val="0"/>
              </w:rPr>
              <w:t xml:space="preserve">object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Georgia" w:cs="Georgia" w:eastAsia="Georgia" w:hAnsi="Georgia"/>
                <w:color w:val="1f1f1f"/>
              </w:rPr>
            </w:pPr>
            <w:r w:rsidDel="00000000" w:rsidR="00000000" w:rsidRPr="00000000">
              <w:rPr>
                <w:rFonts w:ascii="Georgia" w:cs="Georgia" w:eastAsia="Georgia" w:hAnsi="Georgia"/>
                <w:color w:val="1f1f1f"/>
                <w:rtl w:val="0"/>
              </w:rPr>
              <w:t xml:space="preserve">text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Georgia" w:cs="Georgia" w:eastAsia="Georgia" w:hAnsi="Georgia"/>
                <w:color w:val="1f1f1f"/>
              </w:rPr>
            </w:pPr>
            <w:r w:rsidDel="00000000" w:rsidR="00000000" w:rsidRPr="00000000">
              <w:rPr>
                <w:rFonts w:ascii="Georgia" w:cs="Georgia" w:eastAsia="Georgia" w:hAnsi="Georgia"/>
                <w:color w:val="1f1f1f"/>
                <w:rtl w:val="0"/>
              </w:rPr>
              <w:t xml:space="preserve">summarization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Georgia" w:cs="Georgia" w:eastAsia="Georgia" w:hAnsi="Georgia"/>
                <w:color w:val="1f1f1f"/>
              </w:rPr>
            </w:pPr>
            <w:r w:rsidDel="00000000" w:rsidR="00000000" w:rsidRPr="00000000">
              <w:rPr>
                <w:rFonts w:ascii="Georgia" w:cs="Georgia" w:eastAsia="Georgia" w:hAnsi="Georgia"/>
                <w:color w:val="1f1f1f"/>
                <w:rtl w:val="0"/>
              </w:rPr>
              <w:t xml:space="preserve">image captioning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Georgia" w:cs="Georgia" w:eastAsia="Georgia" w:hAnsi="Georgia"/>
                <w:color w:val="1f1f1f"/>
              </w:rPr>
            </w:pPr>
            <w:r w:rsidDel="00000000" w:rsidR="00000000" w:rsidRPr="00000000">
              <w:rPr>
                <w:rFonts w:ascii="Georgia" w:cs="Georgia" w:eastAsia="Georgia" w:hAnsi="Georgia"/>
                <w:color w:val="1f1f1f"/>
                <w:rtl w:val="0"/>
              </w:rPr>
              <w:t xml:space="preserve">image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2.907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1f1f1f"/>
              </w:rPr>
            </w:pPr>
            <w:r w:rsidDel="00000000" w:rsidR="00000000" w:rsidRPr="00000000">
              <w:rPr>
                <w:rFonts w:ascii="Georgia" w:cs="Georgia" w:eastAsia="Georgia" w:hAnsi="Georgia"/>
                <w:color w:val="1f1f1f"/>
                <w:rtl w:val="0"/>
              </w:rPr>
              <w:t xml:space="preserve">3.31</w:t>
            </w:r>
          </w:p>
        </w:tc>
      </w:tr>
    </w:tbl>
    <w:p w:rsidR="00000000" w:rsidDel="00000000" w:rsidP="00000000" w:rsidRDefault="00000000" w:rsidRPr="00000000" w14:paraId="00000088">
      <w:pPr>
        <w:rPr>
          <w:rFonts w:ascii="Georgia" w:cs="Georgia" w:eastAsia="Georgia" w:hAnsi="Georgia"/>
          <w:color w:val="1f1f1f"/>
        </w:rPr>
      </w:pPr>
      <w:r w:rsidDel="00000000" w:rsidR="00000000" w:rsidRPr="00000000">
        <w:rPr>
          <w:rtl w:val="0"/>
        </w:rPr>
      </w:r>
    </w:p>
    <w:p w:rsidR="00000000" w:rsidDel="00000000" w:rsidP="00000000" w:rsidRDefault="00000000" w:rsidRPr="00000000" w14:paraId="00000089">
      <w:pPr>
        <w:rPr>
          <w:rFonts w:ascii="Georgia" w:cs="Georgia" w:eastAsia="Georgia" w:hAnsi="Georgia"/>
          <w:color w:val="1f1f1f"/>
        </w:rPr>
      </w:pPr>
      <w:r w:rsidDel="00000000" w:rsidR="00000000" w:rsidRPr="00000000">
        <w:rPr>
          <w:rFonts w:ascii="Georgia" w:cs="Georgia" w:eastAsia="Georgia" w:hAnsi="Georgia"/>
          <w:color w:val="1f1f1f"/>
          <w:rtl w:val="0"/>
        </w:rPr>
        <w:t xml:space="preserve">Table: Mean and standard deviation of energy per 1,000 queries for the ten tasks examined in our analysis.</w:t>
      </w:r>
    </w:p>
    <w:p w:rsidR="00000000" w:rsidDel="00000000" w:rsidP="00000000" w:rsidRDefault="00000000" w:rsidRPr="00000000" w14:paraId="0000008A">
      <w:pPr>
        <w:rPr>
          <w:rFonts w:ascii="Georgia" w:cs="Georgia" w:eastAsia="Georgia" w:hAnsi="Georgia"/>
          <w:color w:val="1f1f1f"/>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drawing>
          <wp:inline distB="114300" distT="114300" distL="114300" distR="114300">
            <wp:extent cx="5731200" cy="1460500"/>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Fonts w:ascii="Arial Unicode MS" w:cs="Arial Unicode MS" w:eastAsia="Arial Unicode MS" w:hAnsi="Arial Unicode MS"/>
          <w:rtl w:val="0"/>
        </w:rPr>
        <w:t xml:space="preserve">BLOOMz-7B BLOOMz-3B BLOOMz-1B BLOOMz-560M Training energy (kWh) Finetuning energy (kWh) Inference energy (kWh) Cost parity (# inferences) 51,686 7,571 1.0 × 10−4 592,570,000 25,634 3,242 7.3 × 10−5 395,602,740 17,052 1,081 6.2 × 10−5 292,467,741 10,505 543 5.4 × 10−5 204,592,592</w:t>
        <w:br w:type="textWrapping"/>
      </w:r>
      <w:r w:rsidDel="00000000" w:rsidR="00000000" w:rsidRPr="00000000">
        <w:rPr/>
        <w:drawing>
          <wp:inline distB="114300" distT="114300" distL="114300" distR="114300">
            <wp:extent cx="5731200" cy="1130300"/>
            <wp:effectExtent b="0" l="0" r="0" t="0"/>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Datacenter carbon intensity (gCO2e/kWh)</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color w:val="000000"/>
          <w:sz w:val="26"/>
          <w:szCs w:val="26"/>
        </w:rPr>
      </w:pPr>
      <w:bookmarkStart w:colFirst="0" w:colLast="0" w:name="_l87pckwqqfb9" w:id="6"/>
      <w:bookmarkEnd w:id="6"/>
      <w:r w:rsidDel="00000000" w:rsidR="00000000" w:rsidRPr="00000000">
        <w:rPr>
          <w:color w:val="000000"/>
          <w:sz w:val="26"/>
          <w:szCs w:val="26"/>
          <w:rtl w:val="0"/>
        </w:rPr>
        <w:t xml:space="preserve">G</w:t>
      </w:r>
      <w:r w:rsidDel="00000000" w:rsidR="00000000" w:rsidRPr="00000000">
        <w:rPr>
          <w:color w:val="000000"/>
          <w:sz w:val="26"/>
          <w:szCs w:val="26"/>
          <w:rtl w:val="0"/>
        </w:rPr>
        <w:t xml:space="preserve">overnment &amp; Tech Reports</w:t>
      </w:r>
    </w:p>
    <w:p w:rsidR="00000000" w:rsidDel="00000000" w:rsidP="00000000" w:rsidRDefault="00000000" w:rsidRPr="00000000" w14:paraId="00000091">
      <w:pPr>
        <w:numPr>
          <w:ilvl w:val="0"/>
          <w:numId w:val="5"/>
        </w:numPr>
        <w:spacing w:after="0" w:afterAutospacing="0" w:before="240" w:lineRule="auto"/>
        <w:ind w:left="425.19685039370086" w:hanging="360"/>
      </w:pPr>
      <w:r w:rsidDel="00000000" w:rsidR="00000000" w:rsidRPr="00000000">
        <w:rPr>
          <w:b w:val="1"/>
          <w:rtl w:val="0"/>
        </w:rPr>
        <w:t xml:space="preserve">Google Cloud Sustainability Reports</w:t>
      </w:r>
      <w:r w:rsidDel="00000000" w:rsidR="00000000" w:rsidRPr="00000000">
        <w:rPr>
          <w:rtl w:val="0"/>
        </w:rPr>
        <w:t xml:space="preserve"> (Google’s Environmental Report)</w:t>
      </w:r>
    </w:p>
    <w:p w:rsidR="00000000" w:rsidDel="00000000" w:rsidP="00000000" w:rsidRDefault="00000000" w:rsidRPr="00000000" w14:paraId="00000092">
      <w:pPr>
        <w:numPr>
          <w:ilvl w:val="0"/>
          <w:numId w:val="5"/>
        </w:numPr>
        <w:spacing w:after="0" w:afterAutospacing="0" w:before="0" w:beforeAutospacing="0" w:lineRule="auto"/>
        <w:ind w:left="425.19685039370086" w:hanging="360"/>
      </w:pPr>
      <w:r w:rsidDel="00000000" w:rsidR="00000000" w:rsidRPr="00000000">
        <w:rPr>
          <w:b w:val="1"/>
          <w:rtl w:val="0"/>
        </w:rPr>
        <w:t xml:space="preserve">Microsoft Sustainability Calculator</w:t>
      </w:r>
      <w:r w:rsidDel="00000000" w:rsidR="00000000" w:rsidRPr="00000000">
        <w:rPr>
          <w:rtl w:val="0"/>
        </w:rPr>
        <w:t xml:space="preserve"> (</w:t>
      </w:r>
      <w:hyperlink r:id="rId22">
        <w:r w:rsidDel="00000000" w:rsidR="00000000" w:rsidRPr="00000000">
          <w:rPr>
            <w:color w:val="1155cc"/>
            <w:u w:val="single"/>
            <w:rtl w:val="0"/>
          </w:rPr>
          <w:t xml:space="preserve">Microsoft Cloud CO₂ Emissions</w:t>
        </w:r>
      </w:hyperlink>
      <w:r w:rsidDel="00000000" w:rsidR="00000000" w:rsidRPr="00000000">
        <w:rPr>
          <w:rtl w:val="0"/>
        </w:rPr>
        <w:t xml:space="preserve">)</w:t>
      </w:r>
    </w:p>
    <w:p w:rsidR="00000000" w:rsidDel="00000000" w:rsidP="00000000" w:rsidRDefault="00000000" w:rsidRPr="00000000" w14:paraId="00000093">
      <w:pPr>
        <w:numPr>
          <w:ilvl w:val="0"/>
          <w:numId w:val="5"/>
        </w:numPr>
        <w:spacing w:after="0" w:afterAutospacing="0" w:before="0" w:beforeAutospacing="0" w:lineRule="auto"/>
        <w:ind w:left="425.19685039370086" w:hanging="360"/>
      </w:pPr>
      <w:r w:rsidDel="00000000" w:rsidR="00000000" w:rsidRPr="00000000">
        <w:rPr>
          <w:b w:val="1"/>
          <w:rtl w:val="0"/>
        </w:rPr>
        <w:t xml:space="preserve">AWS Carbon Footprint Report</w:t>
      </w:r>
      <w:r w:rsidDel="00000000" w:rsidR="00000000" w:rsidRPr="00000000">
        <w:rPr>
          <w:rtl w:val="0"/>
        </w:rPr>
        <w:t xml:space="preserve"> (AWS Sustainability)</w:t>
      </w:r>
    </w:p>
    <w:p w:rsidR="00000000" w:rsidDel="00000000" w:rsidP="00000000" w:rsidRDefault="00000000" w:rsidRPr="00000000" w14:paraId="00000094">
      <w:pPr>
        <w:numPr>
          <w:ilvl w:val="0"/>
          <w:numId w:val="5"/>
        </w:numPr>
        <w:spacing w:after="240" w:before="0" w:beforeAutospacing="0" w:lineRule="auto"/>
        <w:ind w:left="425.19685039370086" w:hanging="360"/>
      </w:pPr>
      <w:r w:rsidDel="00000000" w:rsidR="00000000" w:rsidRPr="00000000">
        <w:rPr>
          <w:b w:val="1"/>
          <w:rtl w:val="0"/>
        </w:rPr>
        <w:t xml:space="preserve">International Energy Agency (IEA) Reports</w:t>
      </w:r>
      <w:r w:rsidDel="00000000" w:rsidR="00000000" w:rsidRPr="00000000">
        <w:rPr>
          <w:rtl w:val="0"/>
        </w:rPr>
        <w:t xml:space="preserve"> (IEA AI &amp; Energy)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Bdr>
          <w:top w:color="auto" w:space="7" w:sz="0" w:val="none"/>
          <w:left w:color="auto" w:space="0" w:sz="0" w:val="none"/>
          <w:bottom w:color="auto" w:space="7" w:sz="0" w:val="none"/>
          <w:right w:color="auto" w:space="0" w:sz="0" w:val="none"/>
          <w:between w:color="auto" w:space="7" w:sz="0" w:val="none"/>
        </w:pBdr>
        <w:shd w:fill="ffffff" w:val="clear"/>
        <w:rPr>
          <w:b w:val="1"/>
          <w:color w:val="222222"/>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3000375" cy="2295525"/>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0003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4819650" cy="2962275"/>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8196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yce6b7xafz4x" w:id="7"/>
      <w:bookmarkEnd w:id="7"/>
      <w:r w:rsidDel="00000000" w:rsidR="00000000" w:rsidRPr="00000000">
        <w:rPr>
          <w:rtl w:val="0"/>
        </w:rPr>
        <w:t xml:space="preserve">Query classification Model</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p6btbnd7py9e" w:id="8"/>
      <w:bookmarkEnd w:id="8"/>
      <w:r w:rsidDel="00000000" w:rsidR="00000000" w:rsidRPr="00000000">
        <w:rPr>
          <w:b w:val="1"/>
          <w:color w:val="000000"/>
          <w:sz w:val="26"/>
          <w:szCs w:val="26"/>
          <w:rtl w:val="0"/>
        </w:rPr>
        <w:t xml:space="preserve">Project Direction</w:t>
      </w:r>
    </w:p>
    <w:p w:rsidR="00000000" w:rsidDel="00000000" w:rsidP="00000000" w:rsidRDefault="00000000" w:rsidRPr="00000000" w14:paraId="0000009D">
      <w:pPr>
        <w:spacing w:after="240" w:before="240" w:lineRule="auto"/>
        <w:rPr/>
      </w:pPr>
      <w:r w:rsidDel="00000000" w:rsidR="00000000" w:rsidRPr="00000000">
        <w:rPr>
          <w:rtl w:val="0"/>
        </w:rPr>
        <w:t xml:space="preserve">The primary objective of the project evolved from developing a model to predict sustainability metrics to building a robust query classification model. During the course of development, we identified that sustainability metrics can be accurately computed using predefined formulas and findings from established research literature. However, classifying user-provided queries into meaningful categories—such as text generation, code generation, summarization, etc.—posed a more complex challenge that could not be addressed using rule-based methods. This necessitated the development of an AI-based solution specifically for query classification.</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hh6wpeo4gy1u" w:id="9"/>
      <w:bookmarkEnd w:id="9"/>
      <w:r w:rsidDel="00000000" w:rsidR="00000000" w:rsidRPr="00000000">
        <w:rPr>
          <w:b w:val="1"/>
          <w:color w:val="000000"/>
          <w:sz w:val="26"/>
          <w:szCs w:val="26"/>
          <w:rtl w:val="0"/>
        </w:rPr>
        <w:t xml:space="preserve">Data Collection</w:t>
      </w:r>
    </w:p>
    <w:p w:rsidR="00000000" w:rsidDel="00000000" w:rsidP="00000000" w:rsidRDefault="00000000" w:rsidRPr="00000000" w14:paraId="0000009F">
      <w:pPr>
        <w:spacing w:after="240" w:before="240" w:lineRule="auto"/>
        <w:rPr/>
      </w:pPr>
      <w:r w:rsidDel="00000000" w:rsidR="00000000" w:rsidRPr="00000000">
        <w:rPr>
          <w:rtl w:val="0"/>
        </w:rPr>
        <w:t xml:space="preserve">As there were no publicly available datasets containing user queries labeled with corresponding categories, we undertook the task of curating our own dataset. Initial data was collected via Google Forms, where we gathered real-world user queries along with their respective labels. To augment this dataset, we employed generative techniques to synthesize additional query samples. Furthermore, we utilized </w:t>
      </w:r>
      <w:r w:rsidDel="00000000" w:rsidR="00000000" w:rsidRPr="00000000">
        <w:rPr>
          <w:b w:val="1"/>
          <w:rtl w:val="0"/>
        </w:rPr>
        <w:t xml:space="preserve">Gretel.ai</w:t>
      </w:r>
      <w:r w:rsidDel="00000000" w:rsidR="00000000" w:rsidRPr="00000000">
        <w:rPr>
          <w:rtl w:val="0"/>
        </w:rPr>
        <w:t xml:space="preserve">, a synthetic data generation platform, to expand our dataset at scale while preserving label relevance and data diversity.</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ixqbx990s0w9" w:id="10"/>
      <w:bookmarkEnd w:id="10"/>
      <w:r w:rsidDel="00000000" w:rsidR="00000000" w:rsidRPr="00000000">
        <w:rPr>
          <w:b w:val="1"/>
          <w:color w:val="000000"/>
          <w:sz w:val="26"/>
          <w:szCs w:val="26"/>
          <w:rtl w:val="0"/>
        </w:rPr>
        <w:t xml:space="preserve">Model Training and Deployment</w:t>
      </w:r>
    </w:p>
    <w:p w:rsidR="00000000" w:rsidDel="00000000" w:rsidP="00000000" w:rsidRDefault="00000000" w:rsidRPr="00000000" w14:paraId="000000A1">
      <w:pPr>
        <w:spacing w:after="240" w:before="240" w:lineRule="auto"/>
        <w:rPr/>
      </w:pPr>
      <w:r w:rsidDel="00000000" w:rsidR="00000000" w:rsidRPr="00000000">
        <w:rPr>
          <w:rtl w:val="0"/>
        </w:rPr>
        <w:t xml:space="preserve">The compiled dataset was uploaded to </w:t>
      </w:r>
      <w:r w:rsidDel="00000000" w:rsidR="00000000" w:rsidRPr="00000000">
        <w:rPr>
          <w:b w:val="1"/>
          <w:rtl w:val="0"/>
        </w:rPr>
        <w:t xml:space="preserve">Vertex AI</w:t>
      </w:r>
      <w:r w:rsidDel="00000000" w:rsidR="00000000" w:rsidRPr="00000000">
        <w:rPr>
          <w:rtl w:val="0"/>
        </w:rPr>
        <w:t xml:space="preserve">, where we trained a custom </w:t>
      </w:r>
      <w:r w:rsidDel="00000000" w:rsidR="00000000" w:rsidRPr="00000000">
        <w:rPr>
          <w:b w:val="1"/>
          <w:rtl w:val="0"/>
        </w:rPr>
        <w:t xml:space="preserve">AutoML classification model</w:t>
      </w:r>
      <w:r w:rsidDel="00000000" w:rsidR="00000000" w:rsidRPr="00000000">
        <w:rPr>
          <w:rtl w:val="0"/>
        </w:rPr>
        <w:t xml:space="preserve">. The AutoML approach allowed us to leverage Google's advanced machine learning infrastructure without requiring deep model customization or manual hyperparameter tuning.</w:t>
      </w:r>
    </w:p>
    <w:p w:rsidR="00000000" w:rsidDel="00000000" w:rsidP="00000000" w:rsidRDefault="00000000" w:rsidRPr="00000000" w14:paraId="000000A2">
      <w:pPr>
        <w:spacing w:after="240" w:before="240" w:lineRule="auto"/>
        <w:rPr/>
      </w:pPr>
      <w:r w:rsidDel="00000000" w:rsidR="00000000" w:rsidRPr="00000000">
        <w:rPr>
          <w:rtl w:val="0"/>
        </w:rPr>
        <w:t xml:space="preserve">Upon successful training, the model was deployed to a </w:t>
      </w:r>
      <w:r w:rsidDel="00000000" w:rsidR="00000000" w:rsidRPr="00000000">
        <w:rPr>
          <w:b w:val="1"/>
          <w:rtl w:val="0"/>
        </w:rPr>
        <w:t xml:space="preserve">Vertex AI endpoint</w:t>
      </w:r>
      <w:r w:rsidDel="00000000" w:rsidR="00000000" w:rsidRPr="00000000">
        <w:rPr>
          <w:rtl w:val="0"/>
        </w:rPr>
        <w:t xml:space="preserve">. This endpoint facilitates both real-time and batch predictions, enabling seamless integration into our application and allowing us to efficiently classify user queries in production environments.</w:t>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570" w:hanging="286.535433070866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arxiv.org/abs/2109.05472" TargetMode="External"/><Relationship Id="rId22" Type="http://schemas.openxmlformats.org/officeDocument/2006/relationships/hyperlink" Target="https://www.microsoft.com/en-us/sustainability/emissions-impact-dashboard" TargetMode="External"/><Relationship Id="rId10" Type="http://schemas.openxmlformats.org/officeDocument/2006/relationships/hyperlink" Target="https://dl.acm.org/doi/abs/10.1145/3630106.3658542" TargetMode="External"/><Relationship Id="rId21" Type="http://schemas.openxmlformats.org/officeDocument/2006/relationships/image" Target="media/image4.png"/><Relationship Id="rId13" Type="http://schemas.openxmlformats.org/officeDocument/2006/relationships/hyperlink" Target="https://dl.acm.org/doi/fullHtml/10.1145/3603746" TargetMode="External"/><Relationship Id="rId24" Type="http://schemas.openxmlformats.org/officeDocument/2006/relationships/image" Target="media/image1.png"/><Relationship Id="rId12" Type="http://schemas.openxmlformats.org/officeDocument/2006/relationships/hyperlink" Target="https://dl.acm.org/doi/abs/10.1145/3604930.3605705"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210537923000124" TargetMode="External"/><Relationship Id="rId15" Type="http://schemas.openxmlformats.org/officeDocument/2006/relationships/hyperlink" Target="https://arxiv.org/pdf/2309.14393" TargetMode="External"/><Relationship Id="rId14" Type="http://schemas.openxmlformats.org/officeDocument/2006/relationships/hyperlink" Target="https://papers.ssrn.com/sol3/papers.cfm?abstract_id=5036344" TargetMode="External"/><Relationship Id="rId17" Type="http://schemas.openxmlformats.org/officeDocument/2006/relationships/hyperlink" Target="https://sustainability.biruni.edu.tr/sites/default/files/2024-05/Gupta%2C%20et%20al._AIs%20excessive%20water%20consumption.pdf" TargetMode="External"/><Relationship Id="rId16" Type="http://schemas.openxmlformats.org/officeDocument/2006/relationships/hyperlink" Target="https://puiij.com/index.php/research/article/view/39" TargetMode="External"/><Relationship Id="rId5" Type="http://schemas.openxmlformats.org/officeDocument/2006/relationships/styles" Target="styles.xml"/><Relationship Id="rId19" Type="http://schemas.openxmlformats.org/officeDocument/2006/relationships/hyperlink" Target="https://www.sciencedirect.com/topics/engineering/convolutional-neural-network" TargetMode="External"/><Relationship Id="rId6" Type="http://schemas.openxmlformats.org/officeDocument/2006/relationships/hyperlink" Target="https://ieeexplore.ieee.org/abstract/document/10363447" TargetMode="External"/><Relationship Id="rId18" Type="http://schemas.openxmlformats.org/officeDocument/2006/relationships/hyperlink" Target="https://dl.acm.org/doi/abs/10.1145/3578337.3605121" TargetMode="External"/><Relationship Id="rId7" Type="http://schemas.openxmlformats.org/officeDocument/2006/relationships/hyperlink" Target="https://arxiv.org/abs/2205.09646" TargetMode="External"/><Relationship Id="rId8" Type="http://schemas.openxmlformats.org/officeDocument/2006/relationships/hyperlink" Target="https://arxiv.org/abs/2407.04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