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7.jpg" ContentType="image/jpeg"/>
  <Override PartName="/word/media/rId40.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2025-01-06</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6"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1"/>
          <w:numId w:val="1002"/>
        </w:numPr>
      </w:pPr>
      <w:r>
        <w:t xml:space="preserve">enabling impact investment might be best underpinned by the existing dedicated frameworks such as Global Impact Investing Network’s (GIIN) IRIS+, the Social Return on Investment (SROI), the Social Performance Task Force (SPTF), B Impact Assessment (BIA) by B Lab, and the Impact Management Project (IMP).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1"/>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1"/>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0"/>
      </w:r>
    </w:p>
    <w:p>
      <w:pPr>
        <w:pStyle w:val="CaptionedFigure"/>
      </w:pPr>
      <w:r>
        <w:drawing>
          <wp:inline>
            <wp:extent cx="5334000" cy="2540707"/>
            <wp:effectExtent b="0" l="0" r="0" t="0"/>
            <wp:docPr descr="Conceptual basis for organising environmental, social and economic metrics aligned to international statistical standards. Source: https://seea.un.org/content/about-seea"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hyperlink r:id="rId25">
        <w:r>
          <w:rPr>
            <w:rStyle w:val="Hyperlink"/>
          </w:rPr>
          <w:t xml:space="preserve">https://seea.un.org/content/about-seea</w:t>
        </w:r>
      </w:hyperlink>
    </w:p>
    <w:bookmarkEnd w:id="26"/>
    <w:bookmarkStart w:id="27" w:name="introduction"/>
    <w:p>
      <w:pPr>
        <w:pStyle w:val="Heading1"/>
      </w:pPr>
      <w:r>
        <w:t xml:space="preserve">2. Introduction</w:t>
      </w:r>
    </w:p>
    <w:p>
      <w:pPr>
        <w:numPr>
          <w:ilvl w:val="0"/>
          <w:numId w:val="1005"/>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5"/>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7"/>
    <w:bookmarkStart w:id="36" w:name="preliminary-comments-concerning-aix"/>
    <w:p>
      <w:pPr>
        <w:pStyle w:val="Heading1"/>
      </w:pPr>
      <w:r>
        <w:t xml:space="preserve">3. Preliminary Comments Concerning AIX</w:t>
      </w:r>
    </w:p>
    <w:p>
      <w:pPr>
        <w:numPr>
          <w:ilvl w:val="0"/>
          <w:numId w:val="1006"/>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6"/>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6"/>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 Taskforce on Nature-related Financial Disclosures (TNFD) 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6"/>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6"/>
        </w:numPr>
      </w:pPr>
      <w:r>
        <w:t xml:space="preserve">Impact investment focuses on key characteristics such as intentionality</w:t>
      </w:r>
      <w:r>
        <w:rPr>
          <w:rStyle w:val="FootnoteReference"/>
        </w:rPr>
        <w:footnoteReference w:id="28"/>
      </w:r>
      <w:r>
        <w:t xml:space="preserve">, measurability</w:t>
      </w:r>
      <w:r>
        <w:rPr>
          <w:rStyle w:val="FootnoteReference"/>
        </w:rPr>
        <w:footnoteReference w:id="29"/>
      </w:r>
      <w:r>
        <w:t xml:space="preserve">, additionality</w:t>
      </w:r>
      <w:r>
        <w:rPr>
          <w:rStyle w:val="FootnoteReference"/>
        </w:rPr>
        <w:footnoteReference w:id="30"/>
      </w:r>
      <w:r>
        <w:t xml:space="preserve"> </w:t>
      </w:r>
      <w:r>
        <w:t xml:space="preserve">and evidence-based</w:t>
      </w:r>
      <w:r>
        <w:rPr>
          <w:rStyle w:val="FootnoteReference"/>
        </w:rPr>
        <w:footnoteReference w:id="31"/>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7"/>
        </w:numPr>
      </w:pPr>
      <w:r>
        <w:t xml:space="preserve">In contrast, ESG reporting focuses on the broader disclosure of an organisation’s environmental, social, and governance practices. Standards such as the Global Reporting Initiative (GRI), Sustainability Accounting Standards Board (SASB), Task Force on Climate-related Financial Disclosures (TCFD), and the Greenhouse Gas Protocol (GHG Protocol) 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44646"/>
            <wp:effectExtent b="0" l="0" r="0" t="0"/>
            <wp:docPr descr="Methodology for market studies on sustainability-related investments. Source: https://www.eurosif.org/wp-content/uploads/2024/02/2024.02.15-Final-Report-Eurosif-Classification_2024.pdf" title="" id="33" name="Picture"/>
            <a:graphic>
              <a:graphicData uri="http://schemas.openxmlformats.org/drawingml/2006/picture">
                <pic:pic>
                  <pic:nvPicPr>
                    <pic:cNvPr descr="media/Picture%202.png" id="34" name="Picture"/>
                    <pic:cNvPicPr>
                      <a:picLocks noChangeArrowheads="1" noChangeAspect="1"/>
                    </pic:cNvPicPr>
                  </pic:nvPicPr>
                  <pic:blipFill>
                    <a:blip r:embed="rId32"/>
                    <a:stretch>
                      <a:fillRect/>
                    </a:stretch>
                  </pic:blipFill>
                  <pic:spPr bwMode="auto">
                    <a:xfrm>
                      <a:off x="0" y="0"/>
                      <a:ext cx="5334000" cy="2444646"/>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hyperlink r:id="rId35">
        <w:r>
          <w:rPr>
            <w:rStyle w:val="Hyperlink"/>
          </w:rPr>
          <w:t xml:space="preserve">https://www.eurosif.org/wp-content/uploads/2024/02/2024.02.15-Final-Report-Eurosif-Classification_2024.pdf</w:t>
        </w:r>
      </w:hyperlink>
    </w:p>
    <w:p>
      <w:pPr>
        <w:numPr>
          <w:ilvl w:val="0"/>
          <w:numId w:val="1008"/>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8"/>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6"/>
    <w:bookmarkStart w:id="58" w:name="X5414ff3bf1ed245abf0b0955509f115300df69f"/>
    <w:p>
      <w:pPr>
        <w:pStyle w:val="Heading1"/>
      </w:pPr>
      <w:r>
        <w:t xml:space="preserve">4. Current landscape of measurement and verification standards</w:t>
      </w:r>
    </w:p>
    <w:p>
      <w:pPr>
        <w:numPr>
          <w:ilvl w:val="0"/>
          <w:numId w:val="1009"/>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the Global Reporting Initiative (GRI), the Taskforce on Nature-related Financial Disclosures (TNFD), the Task Force on Climate-related Financial Disclosures (TCFD), and the Sustainability Accounting Standards Board (SASB) provide essential guidelines for companies to report their ESG performance.</w:t>
      </w:r>
    </w:p>
    <w:p>
      <w:pPr>
        <w:numPr>
          <w:ilvl w:val="0"/>
          <w:numId w:val="1009"/>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09"/>
        </w:numPr>
      </w:pPr>
      <w:r>
        <w:t xml:space="preserve">Regarding GHG emissions, accounting approaches range in scope and aims from VERRA and Accounting for Nature to the ISO standards and the EU Emissions Trading System (EU ETS). Comprehensive ecosystem assessments can rely on the System of Environmental-Economic Accounting (SEEA),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3" w:name="X1c88697300f6647607325d9be7025c45690091a"/>
    <w:p>
      <w:pPr>
        <w:pStyle w:val="Heading2"/>
      </w:pPr>
      <w:r>
        <w:t xml:space="preserve">4.1 Categorisation of measurement and verification standards</w:t>
      </w:r>
    </w:p>
    <w:p>
      <w:pPr>
        <w:pStyle w:val="Compact"/>
        <w:numPr>
          <w:ilvl w:val="0"/>
          <w:numId w:val="1010"/>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by the IRIS shows the interconnectedness of IRIS+ impact categories and themes as of May 2021 and can help guide meta governance structures for desired outcomes:</w:t>
      </w:r>
    </w:p>
    <w:p>
      <w:pPr>
        <w:pStyle w:val="CaptionedFigure"/>
      </w:pPr>
      <w:r>
        <w:drawing>
          <wp:inline>
            <wp:extent cx="5334000" cy="2133600"/>
            <wp:effectExtent b="0" l="0" r="0" t="0"/>
            <wp:docPr descr="Interconnectedness of IRIS+ Impact Categories and Themes as of May 2021" title="" id="38" name="Picture"/>
            <a:graphic>
              <a:graphicData uri="http://schemas.openxmlformats.org/drawingml/2006/picture">
                <pic:pic>
                  <pic:nvPicPr>
                    <pic:cNvPr descr="media/Picture%203.jp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w:t>
      </w:r>
    </w:p>
    <w:p>
      <w:pPr>
        <w:pStyle w:val="Compact"/>
        <w:numPr>
          <w:ilvl w:val="0"/>
          <w:numId w:val="1011"/>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1" name="Picture"/>
            <a:graphic>
              <a:graphicData uri="http://schemas.openxmlformats.org/drawingml/2006/picture">
                <pic:pic>
                  <pic:nvPicPr>
                    <pic:cNvPr descr="media/Picture%204.png" id="42" name="Picture"/>
                    <pic:cNvPicPr>
                      <a:picLocks noChangeArrowheads="1" noChangeAspect="1"/>
                    </pic:cNvPicPr>
                  </pic:nvPicPr>
                  <pic:blipFill>
                    <a:blip r:embed="rId40"/>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2"/>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3"/>
    <w:bookmarkStart w:id="44" w:name="Xf7932b5c6eccef88feb0ef1c5b88f3110567363"/>
    <w:p>
      <w:pPr>
        <w:pStyle w:val="Heading2"/>
      </w:pPr>
      <w:r>
        <w:t xml:space="preserve">4.2 A holistic conceptual framework grounded in national accounting standards</w:t>
      </w:r>
    </w:p>
    <w:p>
      <w:pPr>
        <w:numPr>
          <w:ilvl w:val="0"/>
          <w:numId w:val="1013"/>
        </w:numPr>
      </w:pPr>
      <w:r>
        <w:t xml:space="preserve">The System of Environmental-Economic Accounting (SEEA) is a framework that integrates environmental and economic data to provide a detailed understanding of the interactions between the environment and the economy. SEEA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3"/>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3"/>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4"/>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4"/>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4"/>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4"/>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4"/>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4"/>
    <w:bookmarkStart w:id="52" w:name="Xdcfaed0d79f0cc2f71df89a8cc39e8638b9fcca"/>
    <w:p>
      <w:pPr>
        <w:pStyle w:val="Heading2"/>
      </w:pPr>
      <w:r>
        <w:t xml:space="preserve">4.3 Socially responsible investment strategies</w:t>
      </w:r>
    </w:p>
    <w:p>
      <w:pPr>
        <w:pStyle w:val="Compact"/>
        <w:numPr>
          <w:ilvl w:val="0"/>
          <w:numId w:val="1015"/>
        </w:numPr>
      </w:pPr>
      <w:r>
        <w:t xml:space="preserve">Within the broad range of Environmental, Social and Governance (ESG) Reporting Standards, Climate-related disclosure and reporting standards, such as the Task Force on Climate-related Financial Disclosures (TCFD) and the Carbon Disclosure Project (CDP),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existing and commonly used climate-related disclosure and reporting standards:</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pct" w:w="5000"/>
        <w:tblLayout w:type="fixed"/>
        <w:tblLook w:firstRow="1" w:lastRow="0" w:firstColumn="0" w:lastColumn="0" w:noHBand="0" w:noVBand="0" w:val="0020"/>
        <w:tblCaption w:val="Overview of Climate-related Disclosure and Reporting Standards."/>
      </w:tblPr>
      <w:tblGrid>
        <w:gridCol w:w="197"/>
        <w:gridCol w:w="1437"/>
        <w:gridCol w:w="1296"/>
        <w:gridCol w:w="1409"/>
        <w:gridCol w:w="2198"/>
        <w:gridCol w:w="1381"/>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pStyle w:val="Compact"/>
        <w:numPr>
          <w:ilvl w:val="0"/>
          <w:numId w:val="1016"/>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7" name="Picture"/>
            <a:graphic>
              <a:graphicData uri="http://schemas.openxmlformats.org/drawingml/2006/picture">
                <pic:pic>
                  <pic:nvPicPr>
                    <pic:cNvPr descr="media/Picture%205.png" id="48" name="Picture"/>
                    <pic:cNvPicPr>
                      <a:picLocks noChangeArrowheads="1" noChangeAspect="1"/>
                    </pic:cNvPicPr>
                  </pic:nvPicPr>
                  <pic:blipFill>
                    <a:blip r:embed="rId46"/>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7"/>
        </w:numPr>
      </w:pPr>
      <w:r>
        <w:t xml:space="preserve">Impact investment refers to investments made to generate positive, measurable social and environmental benefits alongside a financial return (Godeke &amp; Briaud, 2021; Bundesinitiative Impact Investing; GIIN, 2022).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50" name="Picture"/>
            <a:graphic>
              <a:graphicData uri="http://schemas.openxmlformats.org/drawingml/2006/picture">
                <pic:pic>
                  <pic:nvPicPr>
                    <pic:cNvPr descr="media/Picture%206.png" id="51" name="Picture"/>
                    <pic:cNvPicPr>
                      <a:picLocks noChangeArrowheads="1" noChangeAspect="1"/>
                    </pic:cNvPicPr>
                  </pic:nvPicPr>
                  <pic:blipFill>
                    <a:blip r:embed="rId49"/>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8"/>
        </w:numPr>
      </w:pPr>
      <w:r>
        <w:t xml:space="preserve">IRIS+ 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IMP provides a consensus on measuring, managing, and reporting impacts on people and the planet, covering multiple sectors and impact themes.</w:t>
      </w:r>
    </w:p>
    <w:p>
      <w:pPr>
        <w:numPr>
          <w:ilvl w:val="0"/>
          <w:numId w:val="1018"/>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BIA, which are highly regarded globally among impact investors and financial institutions. SROI and SPTF are also gaining acceptance, particularly in the non-profit and microfinance sectors.</w:t>
      </w:r>
    </w:p>
    <w:p>
      <w:pPr>
        <w:numPr>
          <w:ilvl w:val="0"/>
          <w:numId w:val="1018"/>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Science-Based Targets initiative (SBTi) assess whether an organization’s efforts genuinely aim to drive meaningful change.</w:t>
      </w:r>
    </w:p>
    <w:bookmarkEnd w:id="52"/>
    <w:bookmarkStart w:id="53" w:name="Xb2576a7e5f2227306f70736171842375db946d3"/>
    <w:p>
      <w:pPr>
        <w:pStyle w:val="Heading2"/>
      </w:pPr>
      <w:r>
        <w:t xml:space="preserve">4.4 Measurement and verification: climate change and GHG emissions</w:t>
      </w:r>
    </w:p>
    <w:p>
      <w:pPr>
        <w:numPr>
          <w:ilvl w:val="0"/>
          <w:numId w:val="1019"/>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19"/>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19"/>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pct" w:w="5000"/>
        <w:tblLayout w:type="fixed"/>
        <w:tblLook w:firstRow="1" w:lastRow="0" w:firstColumn="0" w:lastColumn="0" w:noHBand="0" w:noVBand="0" w:val="0020"/>
        <w:tblCaption w:val="Overview of Climate Change and GHG Emissions Measurement and Verification Frameworks."/>
      </w:tblPr>
      <w:tblGrid>
        <w:gridCol w:w="374"/>
        <w:gridCol w:w="1440"/>
        <w:gridCol w:w="1814"/>
        <w:gridCol w:w="777"/>
        <w:gridCol w:w="2131"/>
        <w:gridCol w:w="1382"/>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3"/>
    <w:bookmarkStart w:id="56" w:name="X790d8eb558867e244ec46ddc04dd496bfd6528a"/>
    <w:p>
      <w:pPr>
        <w:pStyle w:val="Heading2"/>
      </w:pPr>
      <w:r>
        <w:t xml:space="preserve">4.5 Measurement and verification of ecological health</w:t>
      </w:r>
    </w:p>
    <w:p>
      <w:pPr>
        <w:numPr>
          <w:ilvl w:val="0"/>
          <w:numId w:val="1020"/>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0"/>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0"/>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0"/>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0"/>
        </w:numPr>
      </w:pPr>
      <w:r>
        <w:t xml:space="preserve">The Natural Capital Protocol</w:t>
      </w:r>
      <w:r>
        <w:rPr>
          <w:rStyle w:val="FootnoteReference"/>
        </w:rPr>
        <w:footnoteReference w:id="54"/>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0"/>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1"/>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pct" w:w="5000"/>
        <w:tblLayout w:type="fixed"/>
        <w:tblLook w:firstRow="1" w:lastRow="0" w:firstColumn="0" w:lastColumn="0" w:noHBand="0" w:noVBand="0" w:val="0020"/>
        <w:tblCaption w:val="Overview of Measurement and Verification Frameworks focused on Ecological Health."/>
      </w:tblPr>
      <w:tblGrid>
        <w:gridCol w:w="824"/>
        <w:gridCol w:w="1419"/>
        <w:gridCol w:w="1510"/>
        <w:gridCol w:w="1213"/>
        <w:gridCol w:w="1487"/>
        <w:gridCol w:w="1464"/>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Market.acceptance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2"/>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2"/>
        </w:numPr>
      </w:pPr>
      <w:r>
        <w:t xml:space="preserve">On the other hand, the Natural Capital Protocol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2"/>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6"/>
    <w:bookmarkStart w:id="57" w:name="Xb527867eb8a257eedaa3490a1baf93e569c18ac"/>
    <w:p>
      <w:pPr>
        <w:pStyle w:val="Heading2"/>
      </w:pPr>
      <w:r>
        <w:t xml:space="preserve">4.6 Measurement and verification: social impacts</w:t>
      </w:r>
    </w:p>
    <w:p>
      <w:pPr>
        <w:numPr>
          <w:ilvl w:val="0"/>
          <w:numId w:val="1023"/>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Global Impact Investing Network’s (GIIN) IRIS+, the Social Return on Investment (SROI), the Social Performance Task Force (SPTF), B Impact Assessment (BIA) by B Lab, and the Impact Management Project (IMP).</w:t>
      </w:r>
    </w:p>
    <w:p>
      <w:pPr>
        <w:numPr>
          <w:ilvl w:val="0"/>
          <w:numId w:val="1023"/>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pct" w:w="5000"/>
        <w:tblLayout w:type="fixed"/>
        <w:tblLook w:firstRow="1" w:lastRow="0" w:firstColumn="0" w:lastColumn="0" w:noHBand="0" w:noVBand="0" w:val="0020"/>
        <w:tblCaption w:val="Overview of Measurement and Verification Frameworks for Social Impact."/>
      </w:tblPr>
      <w:tblGrid>
        <w:gridCol w:w="509"/>
        <w:gridCol w:w="2686"/>
        <w:gridCol w:w="1677"/>
        <w:gridCol w:w="1433"/>
        <w:gridCol w:w="1613"/>
      </w:tblGrid>
      <w:tr>
        <w:trPr>
          <w:tblHeader w:val="on"/>
        </w:trPr>
        <w:tc>
          <w:tcPr/>
          <w:p>
            <w:pPr>
              <w:pStyle w:val="Compact"/>
              <w:jc w:val="left"/>
            </w:pPr>
            <w:r>
              <w:t xml:space="preserve">Framework</w:t>
            </w:r>
          </w:p>
        </w:tc>
        <w:tc>
          <w:tcPr/>
          <w:p>
            <w:pPr>
              <w:pStyle w:val="Compact"/>
              <w:jc w:val="left"/>
            </w:pPr>
            <w:r>
              <w:t xml:space="preserve">Purpose.Coverage</w:t>
            </w:r>
          </w:p>
        </w:tc>
        <w:tc>
          <w:tcPr/>
          <w:p>
            <w:pPr>
              <w:pStyle w:val="Compact"/>
              <w:jc w:val="left"/>
            </w:pPr>
            <w:r>
              <w:t xml:space="preserve">Average</w:t>
            </w:r>
          </w:p>
        </w:tc>
        <w:tc>
          <w:tcPr/>
          <w:p>
            <w:pPr>
              <w:pStyle w:val="Compact"/>
              <w:jc w:val="left"/>
            </w:pPr>
            <w:r>
              <w:t xml:space="preserve">MRV.Requirements</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7"/>
    <w:bookmarkEnd w:id="58"/>
    <w:bookmarkStart w:id="63" w:name="X1aba0d00264b0a082c18e810ca65c7c31cfc756"/>
    <w:p>
      <w:pPr>
        <w:pStyle w:val="Heading1"/>
      </w:pPr>
      <w:r>
        <w:t xml:space="preserve">5. Market growth and reporting trends in sustainable investing</w:t>
      </w:r>
    </w:p>
    <w:p>
      <w:pPr>
        <w:numPr>
          <w:ilvl w:val="0"/>
          <w:numId w:val="1024"/>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4"/>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4"/>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4"/>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9" w:name="X03d11e797a4361b85b1c7948cc47fcc51c392ab"/>
    <w:p>
      <w:pPr>
        <w:pStyle w:val="Heading2"/>
      </w:pPr>
      <w:r>
        <w:t xml:space="preserve">5.1 Evolving dimensions of impact: climate resilience and energy transitions</w:t>
      </w:r>
    </w:p>
    <w:p>
      <w:pPr>
        <w:pStyle w:val="Compact"/>
        <w:numPr>
          <w:ilvl w:val="0"/>
          <w:numId w:val="1025"/>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9"/>
    <w:bookmarkStart w:id="60" w:name="X57faf63b1ade461c14e266f780a3a5d6d830797"/>
    <w:p>
      <w:pPr>
        <w:pStyle w:val="Heading2"/>
      </w:pPr>
      <w:r>
        <w:t xml:space="preserve">5.2 Evolving dimensions of impact: social equity and inclusion</w:t>
      </w:r>
    </w:p>
    <w:p>
      <w:pPr>
        <w:numPr>
          <w:ilvl w:val="0"/>
          <w:numId w:val="1026"/>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6"/>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(2022)</w:t>
      </w:r>
      <w:r>
        <w:t xml:space="preserve">).</w:t>
      </w:r>
    </w:p>
    <w:p>
      <w:pPr>
        <w:numPr>
          <w:ilvl w:val="0"/>
          <w:numId w:val="1026"/>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60"/>
    <w:bookmarkStart w:id="61" w:name="Xccbb1e11956e8c7cb9c23e5b9c11e195d58585e"/>
    <w:p>
      <w:pPr>
        <w:pStyle w:val="Heading2"/>
      </w:pPr>
      <w:r>
        <w:t xml:space="preserve">5.3 Integrating holistic ecosystem perspectives</w:t>
      </w:r>
    </w:p>
    <w:p>
      <w:pPr>
        <w:numPr>
          <w:ilvl w:val="0"/>
          <w:numId w:val="1027"/>
        </w:numPr>
      </w:pPr>
      <w:r>
        <w:t xml:space="preserve">The need for a comprehensive and interconnected approach to impact assessment has become increasingly critical in recent years. Published reports by the (</w:t>
      </w:r>
      <w:r>
        <w:t xml:space="preserve">European Commission (2023)</w:t>
      </w:r>
      <w:r>
        <w:t xml:space="preserve">) and the United Nations Office for Disaster Risk Reduction (2023) 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Taskforce on Nature-related Financial Disclosures (TNFD), and SEEA emphasise a comprehensive view of ecosystems and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7"/>
        </w:numPr>
      </w:pPr>
      <w:r>
        <w:t xml:space="preserve">Implementing nature-based accounting standards (NCA)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 Bendell (2019),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 United Nations Office for Disaster Risk Reduction (2023) 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7"/>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The report of the European Commission (2023) emphasises that the credibility and accuracy of impact assessments are heavily dependent on the quality and scientific rigour of the metrics used.</w:t>
      </w:r>
    </w:p>
    <w:p>
      <w:pPr>
        <w:numPr>
          <w:ilvl w:val="0"/>
          <w:numId w:val="1027"/>
        </w:numPr>
      </w:pPr>
      <w:r>
        <w:t xml:space="preserve">Finally, the European Commission’s report (2023) 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61"/>
    <w:bookmarkStart w:id="62" w:name="X7c47c9b10a3016ccd037a19cb297d252d4a76cd"/>
    <w:p>
      <w:pPr>
        <w:pStyle w:val="Heading2"/>
      </w:pPr>
      <w:r>
        <w:t xml:space="preserve">5.4 Environmental health through sustainable resource management</w:t>
      </w:r>
    </w:p>
    <w:p>
      <w:pPr>
        <w:numPr>
          <w:ilvl w:val="0"/>
          <w:numId w:val="1028"/>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 the United Nations Environment Programme (UNEP), these innovations help reduce the environmental footprint and promote resource efficiency (UNEP, 2021).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(World Health Organization, 2018).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(Intergovernmental Panel on Climate Change, 2019).</w:t>
      </w:r>
    </w:p>
    <w:p>
      <w:pPr>
        <w:numPr>
          <w:ilvl w:val="0"/>
          <w:numId w:val="1028"/>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(World Resources Institute, 2020).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8"/>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Moreover, international agreements like the Paris Agreement highlight the interconnectedness of environmental health and climate action, underscoring the need for integrated approaches to address these issues (European Commission, 2019; United Nations Framework Convention on Climate Change, 2015).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(2021)</w:t>
      </w:r>
      <w:r>
        <w:t xml:space="preserve">).</w:t>
      </w:r>
    </w:p>
    <w:p>
      <w:pPr>
        <w:numPr>
          <w:ilvl w:val="0"/>
          <w:numId w:val="1028"/>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2"/>
    <w:bookmarkEnd w:id="63"/>
    <w:bookmarkStart w:id="64" w:name="X744ce943bcdb55ec9f5a5da6822058bb3a10c29"/>
    <w:p>
      <w:pPr>
        <w:pStyle w:val="Heading1"/>
      </w:pPr>
      <w:r>
        <w:t xml:space="preserve">6. Implications for an Australian impact exchange</w:t>
      </w:r>
    </w:p>
    <w:p>
      <w:pPr>
        <w:numPr>
          <w:ilvl w:val="0"/>
          <w:numId w:val="1029"/>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29"/>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the existing dedicated frameworks such as Global Impact Investing Network’s (GIIN) IRIS+, the Social Return on Investment (SROI), the Social Performance Task Force (SPTF), B Impact Assessment (BIA) by B Lab, and the Impact Management Project (IMP).</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29"/>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29"/>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0"/>
        </w:numPr>
      </w:pPr>
      <w:r>
        <w:t xml:space="preserve">Principle 1: Traded assets should disclose both their primary environmental and social outcomes (quantified or qualified as appropriate) and the methodological basis for assessing those outcomes.</w:t>
      </w:r>
    </w:p>
    <w:p>
      <w:pPr>
        <w:numPr>
          <w:ilvl w:val="1"/>
          <w:numId w:val="1030"/>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1"/>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1"/>
        </w:numPr>
      </w:pPr>
      <w:r>
        <w:t xml:space="preserve">(2B) Clearly document their functional, geographical and value chain scope coverage (e.g. 1+2 vs 3) and use pre-defined categories aligned to the SEEA and other relevant global statistical standards.</w:t>
      </w:r>
    </w:p>
    <w:p>
      <w:pPr>
        <w:numPr>
          <w:ilvl w:val="0"/>
          <w:numId w:val="1029"/>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29"/>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4"/>
    <w:bookmarkStart w:id="77"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ESG Strategies.</w:t>
      </w:r>
    </w:p>
    <w:tbl>
      <w:tblPr>
        <w:tblStyle w:val="Table"/>
        <w:tblW w:type="pct" w:w="5000"/>
        <w:tblLayout w:type="fixed"/>
        <w:tblLook w:firstRow="1" w:lastRow="0" w:firstColumn="0" w:lastColumn="0" w:noHBand="0" w:noVBand="0" w:val="0020"/>
        <w:tblCaption w:val="Overview of ESG Strategies."/>
      </w:tblPr>
      <w:tblGrid>
        <w:gridCol w:w="895"/>
        <w:gridCol w:w="2706"/>
        <w:gridCol w:w="437"/>
        <w:gridCol w:w="1213"/>
        <w:gridCol w:w="1392"/>
        <w:gridCol w:w="1273"/>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Impact Investment Strategies.</w:t>
      </w:r>
    </w:p>
    <w:tbl>
      <w:tblPr>
        <w:tblStyle w:val="Table"/>
        <w:tblW w:type="pct" w:w="5000"/>
        <w:tblLayout w:type="fixed"/>
        <w:tblLook w:firstRow="1" w:lastRow="0" w:firstColumn="0" w:lastColumn="0" w:noHBand="0" w:noVBand="0" w:val="0020"/>
        <w:tblCaption w:val="Overview of Impact Investment Strategies."/>
      </w:tblPr>
      <w:tblGrid>
        <w:gridCol w:w="662"/>
        <w:gridCol w:w="1789"/>
        <w:gridCol w:w="686"/>
        <w:gridCol w:w="1397"/>
        <w:gridCol w:w="1471"/>
        <w:gridCol w:w="191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Green Finance and Social Finance.</w:t>
      </w:r>
    </w:p>
    <w:tbl>
      <w:tblPr>
        <w:tblStyle w:val="Table"/>
        <w:tblW w:type="pct" w:w="5000"/>
        <w:tblLayout w:type="fixed"/>
        <w:tblLook w:firstRow="1" w:lastRow="0" w:firstColumn="0" w:lastColumn="0" w:noHBand="0" w:noVBand="0" w:val="0020"/>
        <w:tblCaption w:val="Overview of Green Finance and Social Finance."/>
      </w:tblPr>
      <w:tblGrid>
        <w:gridCol w:w="585"/>
        <w:gridCol w:w="2314"/>
        <w:gridCol w:w="278"/>
        <w:gridCol w:w="1478"/>
        <w:gridCol w:w="1310"/>
        <w:gridCol w:w="195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Governance and Ethical Investing.</w:t>
      </w:r>
    </w:p>
    <w:tbl>
      <w:tblPr>
        <w:tblStyle w:val="Table"/>
        <w:tblW w:type="pct" w:w="5000"/>
        <w:tblLayout w:type="fixed"/>
        <w:tblLook w:firstRow="1" w:lastRow="0" w:firstColumn="0" w:lastColumn="0" w:noHBand="0" w:noVBand="0" w:val="0020"/>
        <w:tblCaption w:val="Overview of Governance and Ethical Investing."/>
      </w:tblPr>
      <w:tblGrid>
        <w:gridCol w:w="843"/>
        <w:gridCol w:w="2503"/>
        <w:gridCol w:w="272"/>
        <w:gridCol w:w="1170"/>
        <w:gridCol w:w="1524"/>
        <w:gridCol w:w="1605"/>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76" w:name="refs"/>
    <w:bookmarkStart w:id="66"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65">
        <w:r>
          <w:rPr>
            <w:rStyle w:val="Hyperlink"/>
          </w:rPr>
          <w:t xml:space="preserve">https://www.weforum.org/agenda/2024/05/4-key-trends-driving-private-market-impact-funds/</w:t>
        </w:r>
      </w:hyperlink>
      <w:r>
        <w:t xml:space="preserve">.</w:t>
      </w:r>
    </w:p>
    <w:bookmarkEnd w:id="66"/>
    <w:bookmarkStart w:id="68" w:name="ref-ec2023"/>
    <w:p>
      <w:pPr>
        <w:pStyle w:val="Bibliography"/>
      </w:pPr>
      <w:r>
        <w:t xml:space="preserve">European Commission.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67">
        <w:r>
          <w:rPr>
            <w:rStyle w:val="Hyperlink"/>
          </w:rPr>
          <w:t xml:space="preserve">https://op.europa.eu/en/publications</w:t>
        </w:r>
      </w:hyperlink>
      <w:r>
        <w:t xml:space="preserve">.</w:t>
      </w:r>
    </w:p>
    <w:bookmarkEnd w:id="68"/>
    <w:bookmarkStart w:id="70" w:name="ref-gri2021"/>
    <w:p>
      <w:pPr>
        <w:pStyle w:val="Bibliography"/>
      </w:pPr>
      <w:r>
        <w:t xml:space="preserve">Global Reporting Initiative. 2021.</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69">
        <w:r>
          <w:rPr>
            <w:rStyle w:val="Hyperlink"/>
          </w:rPr>
          <w:t xml:space="preserve">https://www.globalreporting.org/standards</w:t>
        </w:r>
      </w:hyperlink>
      <w:r>
        <w:t xml:space="preserve">.</w:t>
      </w:r>
    </w:p>
    <w:bookmarkEnd w:id="70"/>
    <w:bookmarkStart w:id="72"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71">
        <w:r>
          <w:rPr>
            <w:rStyle w:val="Hyperlink"/>
          </w:rPr>
          <w:t xml:space="preserve">https://www.iso.org/standard/43263.html</w:t>
        </w:r>
      </w:hyperlink>
      <w:r>
        <w:t xml:space="preserve">.</w:t>
      </w:r>
    </w:p>
    <w:bookmarkEnd w:id="72"/>
    <w:bookmarkStart w:id="74"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73">
        <w:r>
          <w:rPr>
            <w:rStyle w:val="Hyperlink"/>
          </w:rPr>
          <w:t xml:space="preserve">https://horasis.org/the-next-big-trend-asian-impact-investing/</w:t>
        </w:r>
      </w:hyperlink>
      <w:r>
        <w:t xml:space="preserve">.</w:t>
      </w:r>
    </w:p>
    <w:bookmarkEnd w:id="74"/>
    <w:bookmarkStart w:id="75" w:name="ref-economist2022"/>
    <w:p>
      <w:pPr>
        <w:pStyle w:val="Bibliography"/>
      </w:pPr>
      <w:r>
        <w:t xml:space="preserve">The Economist Group. 2022.</w:t>
      </w:r>
      <w:r>
        <w:t xml:space="preserve"> </w:t>
      </w:r>
      <w:r>
        <w:t xml:space="preserve">“Advancing Impact: A Road Map for Social Investing in Asia.”</w:t>
      </w:r>
      <w:r>
        <w:t xml:space="preserve"> </w:t>
      </w:r>
      <w:r>
        <w:t xml:space="preserve">The Economist.</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for example: Nature-based credit markets at a crossroads, Nature Sustainability:</w:t>
      </w:r>
      <w:r>
        <w:t xml:space="preserve"> </w:t>
      </w:r>
      <w:hyperlink r:id="rId21">
        <w:r>
          <w:rPr>
            <w:rStyle w:val="Hyperlink"/>
          </w:rPr>
          <w:t xml:space="preserve">https://doi.org/10.1038/s41893-024-01403-w</w:t>
        </w:r>
      </w:hyperlink>
    </w:p>
  </w:footnote>
  <w:footnote w:id="28">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9">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(Bundesinitiative Impact Investing; GIIN, 2022).</w:t>
      </w:r>
    </w:p>
  </w:footnote>
  <w:footnote w:id="30">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(Bundesinitiative Impact Investing; GIIN, 2022).</w:t>
      </w:r>
    </w:p>
  </w:footnote>
  <w:footnote w:id="31">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(GIIN, 2022).</w:t>
      </w:r>
    </w:p>
  </w:footnote>
  <w:footnote w:id="54">
    <w:p>
      <w:pPr>
        <w:pStyle w:val="FootnoteText"/>
      </w:pPr>
      <w:r>
        <w:rPr>
          <w:rStyle w:val="FootnoteReference"/>
        </w:rPr>
        <w:footnoteRef/>
      </w:r>
      <w:r>
        <w:t xml:space="preserve"> </w:t>
      </w:r>
      <w:r>
        <w:t xml:space="preserve">See:</w:t>
      </w:r>
      <w:r>
        <w:t xml:space="preserve"> </w:t>
      </w:r>
      <w:hyperlink r:id="rId55">
        <w:r>
          <w:rPr>
            <w:rStyle w:val="Hyperlink"/>
          </w:rPr>
          <w:t xml:space="preserve">https://capitalscoalition.org/wp-content/uploads/2021/01/NCC_Protocol.pdf</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3">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4">
    <w:abstractNumId w:val="991"/>
  </w:num>
  <w:num w:numId="1015">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6">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7">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8">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1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0">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1">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2">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3">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4">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5">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6">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7">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8">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29">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7" Target="media/rId37.jp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45" Target="https://SustainableDevelopmentReform.github.io/ImpactExchangeMetrics/index-preview.html"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3" Target="https://horasis.org/the-next-big-trend-asian-impact-investing/" TargetMode="External" /><Relationship Type="http://schemas.openxmlformats.org/officeDocument/2006/relationships/hyperlink" Id="rId67" Target="https://op.europa.eu/en/publications" TargetMode="External" /><Relationship Type="http://schemas.openxmlformats.org/officeDocument/2006/relationships/hyperlink" Id="rId25" Target="https://seea.un.org/content/about-seea"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69" Target="https://www.globalreporting.org/standards" TargetMode="External" /><Relationship Type="http://schemas.openxmlformats.org/officeDocument/2006/relationships/hyperlink" Id="rId71" Target="https://www.iso.org/standard/43263.html" TargetMode="External" /><Relationship Type="http://schemas.openxmlformats.org/officeDocument/2006/relationships/hyperlink" Id="rId65" Target="https://www.weforum.org/agenda/2024/05/4-key-trends-driving-private-market-impact-funds/" TargetMode="External" /></Relationships>
</file>

<file path=word/_rels/footnotes.xml.rels><?xml version="1.0" encoding="UTF-8"?><Relationships xmlns="http://schemas.openxmlformats.org/package/2006/relationships"><Relationship Type="http://schemas.openxmlformats.org/officeDocument/2006/relationships/hyperlink" Id="rId45" Target="https://SustainableDevelopmentReform.github.io/ImpactExchangeMetrics/index-preview.html"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3" Target="https://horasis.org/the-next-big-trend-asian-impact-investing/" TargetMode="External" /><Relationship Type="http://schemas.openxmlformats.org/officeDocument/2006/relationships/hyperlink" Id="rId67" Target="https://op.europa.eu/en/publications" TargetMode="External" /><Relationship Type="http://schemas.openxmlformats.org/officeDocument/2006/relationships/hyperlink" Id="rId25" Target="https://seea.un.org/content/about-seea"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69" Target="https://www.globalreporting.org/standards" TargetMode="External" /><Relationship Type="http://schemas.openxmlformats.org/officeDocument/2006/relationships/hyperlink" Id="rId71" Target="https://www.iso.org/standard/43263.html" TargetMode="External" /><Relationship Type="http://schemas.openxmlformats.org/officeDocument/2006/relationships/hyperlink" Id="rId65" Target="https://www.weforum.org/agenda/2024/05/4-key-trends-driving-private-market-impact-fu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2025-01-06T12:40:51Z</dcterms:created>
  <dcterms:modified xsi:type="dcterms:W3CDTF">2025-01-06T12:40:51Z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2025-01-06</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