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7.png" ContentType="image/png"/>
  <Override PartName="/word/media/rId34.png" ContentType="image/png"/>
  <Override PartName="/word/media/rId41.png" ContentType="image/png"/>
  <Override PartName="/word/media/rId45.png" ContentType="image/png"/>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Example Document Template</w:t>
      </w:r>
    </w:p>
    <w:p>
      <w:pPr>
        <w:pStyle w:val="Date"/>
      </w:pPr>
      <w:r>
        <w:t xml:space="preserve">2024-12-20</w:t>
      </w:r>
    </w:p>
    <w:p>
      <w:pPr>
        <w:pStyle w:val="AbstractTitle"/>
      </w:pPr>
      <w:r>
        <w:t xml:space="preserve">Summary:</w:t>
      </w:r>
    </w:p>
    <w:p>
      <w:pPr>
        <w:pStyle w:val="Abstract"/>
      </w:pPr>
      <w:r>
        <w:t xml:space="preserve">This template demonstrates the capabilities of Quarto for academic writing.</w:t>
      </w:r>
      <w:r>
        <w:t xml:space="preserve"> </w:t>
      </w:r>
      <w:r>
        <w:t xml:space="preserve">It shows how to create complex documents with figures, tables, citations,</w:t>
      </w:r>
      <w:r>
        <w:t xml:space="preserve"> </w:t>
      </w:r>
      <w:r>
        <w:t xml:space="preserve">and specialized formatting. The template supports multiple output formats</w:t>
      </w:r>
      <w:r>
        <w:t xml:space="preserve"> </w:t>
      </w:r>
      <w:r>
        <w:t xml:space="preserve">including HTML, Word, and PDF via Typst.</w:t>
      </w:r>
    </w:p>
    <w:bookmarkStart w:id="25" w:name="key-findings"/>
    <w:p>
      <w:pPr>
        <w:pStyle w:val="Heading1"/>
      </w:pPr>
      <w:r>
        <w:t xml:space="preserve">1. Key findings</w:t>
      </w:r>
    </w:p>
    <w:p>
      <w:pPr>
        <w:numPr>
          <w:ilvl w:val="0"/>
          <w:numId w:val="1001"/>
        </w:numPr>
      </w:pPr>
      <w:r>
        <w:t xml:space="preserve">This template demonstrates effective academic document structure. Key findings should</w:t>
      </w:r>
      <w:r>
        <w:t xml:space="preserve"> </w:t>
      </w:r>
      <w:r>
        <w:t xml:space="preserve">summarize main points in clear, concise language. Each bullet point should be</w:t>
      </w:r>
      <w:r>
        <w:t xml:space="preserve"> </w:t>
      </w:r>
      <w:r>
        <w:t xml:space="preserve">substantive and typically 2-3 sentences long.</w:t>
      </w:r>
    </w:p>
    <w:p>
      <w:pPr>
        <w:numPr>
          <w:ilvl w:val="0"/>
          <w:numId w:val="1001"/>
        </w:numPr>
      </w:pPr>
      <w:r>
        <w:t xml:space="preserve">Complex features can be demonstrated throughout, such as cross-references (see</w:t>
      </w:r>
      <w:r>
        <w:t xml:space="preserve"> </w:t>
      </w:r>
      <w:hyperlink w:anchor="fig-example">
        <w:r>
          <w:rPr>
            <w:rStyle w:val="Hyperlink"/>
          </w:rPr>
          <w:t xml:space="preserve">Figure 1</w:t>
        </w:r>
      </w:hyperlink>
      <w:r>
        <w:t xml:space="preserve">),</w:t>
      </w:r>
      <w:r>
        <w:t xml:space="preserve"> </w:t>
      </w:r>
      <w:r>
        <w:t xml:space="preserve">citations</w:t>
      </w:r>
      <w:r>
        <w:t xml:space="preserve"> </w:t>
      </w:r>
      <w:r>
        <w:t xml:space="preserve">(Capitals Coalition 2024)</w:t>
      </w:r>
      <w:r>
        <w:t xml:space="preserve">, and footnotes</w:t>
      </w:r>
      <w:r>
        <w:rPr>
          <w:rStyle w:val="FootnoteReference"/>
        </w:rPr>
        <w:footnoteReference w:id="20"/>
      </w:r>
      <w:r>
        <w:t xml:space="preserve">. These features work across all</w:t>
      </w:r>
      <w:r>
        <w:t xml:space="preserve"> </w:t>
      </w:r>
      <w:r>
        <w:t xml:space="preserve">output formats including HTML, Word and PDF.</w:t>
      </w:r>
    </w:p>
    <w:p>
      <w:pPr>
        <w:numPr>
          <w:ilvl w:val="0"/>
          <w:numId w:val="1001"/>
        </w:numPr>
      </w:pPr>
      <w:r>
        <w:t xml:space="preserve">Multi-level bullets work as follows:</w:t>
      </w:r>
    </w:p>
    <w:p>
      <w:pPr>
        <w:numPr>
          <w:ilvl w:val="1"/>
          <w:numId w:val="1002"/>
        </w:numPr>
      </w:pPr>
      <w:r>
        <w:t xml:space="preserve">Sub-points should provide supporting detail</w:t>
      </w:r>
    </w:p>
    <w:p>
      <w:pPr>
        <w:numPr>
          <w:ilvl w:val="1"/>
          <w:numId w:val="1002"/>
        </w:numPr>
      </w:pPr>
      <w:r>
        <w:t xml:space="preserve">They can include citations</w:t>
      </w:r>
      <w:r>
        <w:t xml:space="preserve"> </w:t>
      </w:r>
      <w:r>
        <w:t xml:space="preserve">(Taskforce on Nature-related Financial Disclosures 2024)</w:t>
      </w:r>
    </w:p>
    <w:p>
      <w:pPr>
        <w:numPr>
          <w:ilvl w:val="1"/>
          <w:numId w:val="1002"/>
        </w:numPr>
      </w:pPr>
      <w:r>
        <w:t xml:space="preserve">Second-level points with spacing between them are also possible:</w:t>
      </w:r>
    </w:p>
    <w:p>
      <w:pPr>
        <w:pStyle w:val="Compact"/>
        <w:numPr>
          <w:ilvl w:val="2"/>
          <w:numId w:val="1003"/>
        </w:numPr>
      </w:pPr>
      <w:r>
        <w:t xml:space="preserve">Third level bullets demonstrate deeper hierarchy</w:t>
      </w:r>
    </w:p>
    <w:p>
      <w:pPr>
        <w:pStyle w:val="Compact"/>
        <w:numPr>
          <w:ilvl w:val="2"/>
          <w:numId w:val="1003"/>
        </w:numPr>
      </w:pPr>
      <w:r>
        <w:t xml:space="preserve">With multiple points as needed</w:t>
      </w:r>
    </w:p>
    <w:tbl>
      <w:tblPr>
        <w:tblStyle w:val="Table"/>
        <w:tblW w:type="pct" w:w="5000"/>
        <w:tblLayout w:type="fixed"/>
        <w:tblLook w:firstRow="0" w:lastRow="0" w:firstColumn="0" w:lastColumn="0" w:noHBand="0" w:noVBand="0" w:val="0000"/>
      </w:tblPr>
      <w:tblGrid>
        <w:gridCol w:w="7920"/>
      </w:tblGrid>
      <w:tr>
        <w:tc>
          <w:tcPr/>
          <w:bookmarkStart w:id="24" w:name="fig-example"/>
          <w:p>
            <w:pPr>
              <w:pStyle w:val="Compact"/>
              <w:jc w:val="center"/>
            </w:pPr>
            <w:r>
              <w:drawing>
                <wp:inline>
                  <wp:extent cx="5334000" cy="2540707"/>
                  <wp:effectExtent b="0" l="0" r="0" t="0"/>
                  <wp:docPr descr="" title="" id="22" name="Picture"/>
                  <a:graphic>
                    <a:graphicData uri="http://schemas.openxmlformats.org/drawingml/2006/picture">
                      <pic:pic>
                        <pic:nvPicPr>
                          <pic:cNvPr descr="media/picture%201.png" id="23" name="Picture"/>
                          <pic:cNvPicPr>
                            <a:picLocks noChangeArrowheads="1" noChangeAspect="1"/>
                          </pic:cNvPicPr>
                        </pic:nvPicPr>
                        <pic:blipFill>
                          <a:blip r:embed="rId21"/>
                          <a:stretch>
                            <a:fillRect/>
                          </a:stretch>
                        </pic:blipFill>
                        <pic:spPr bwMode="auto">
                          <a:xfrm>
                            <a:off x="0" y="0"/>
                            <a:ext cx="5334000" cy="254070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Example figure showing conceptual relationships. Place figures in the media/ folder.</w:t>
            </w:r>
          </w:p>
          <w:bookmarkEnd w:id="24"/>
        </w:tc>
      </w:tr>
    </w:tbl>
    <w:bookmarkEnd w:id="25"/>
    <w:bookmarkStart w:id="28" w:name="sec-introduction"/>
    <w:p>
      <w:pPr>
        <w:pStyle w:val="Heading1"/>
      </w:pPr>
      <w:r>
        <w:t xml:space="preserve">2. Introduction</w:t>
      </w:r>
    </w:p>
    <w:p>
      <w:pPr>
        <w:numPr>
          <w:ilvl w:val="0"/>
          <w:numId w:val="1004"/>
        </w:numPr>
      </w:pPr>
      <w:r>
        <w:t xml:space="preserve">This template uses numbered paragraphs for the main sections. Paragraphs should be</w:t>
      </w:r>
      <w:r>
        <w:t xml:space="preserve"> </w:t>
      </w:r>
      <w:r>
        <w:t xml:space="preserve">concise and focused on a single main point or idea. Citations can be included</w:t>
      </w:r>
      <w:r>
        <w:t xml:space="preserve"> </w:t>
      </w:r>
      <w:r>
        <w:t xml:space="preserve">(Global Reporting Initiative, n.d.; Taskforce on Nature-related Financial Disclosures 2024)</w:t>
      </w:r>
      <w:r>
        <w:t xml:space="preserve"> </w:t>
      </w:r>
      <w:r>
        <w:t xml:space="preserve">and will be rendered according to the specified citation style.</w:t>
      </w:r>
    </w:p>
    <w:p>
      <w:pPr>
        <w:numPr>
          <w:ilvl w:val="0"/>
          <w:numId w:val="1004"/>
        </w:numPr>
      </w:pPr>
      <w:r>
        <w:t xml:space="preserve">Images can be included as either figures with captions (as above) or inline.</w:t>
      </w:r>
      <w:r>
        <w:t xml:space="preserve"> </w:t>
      </w:r>
      <w:r>
        <w:t xml:space="preserve">Code blocks and other technical content can be included:</w:t>
      </w:r>
    </w:p>
    <w:p>
      <w:pPr>
        <w:pStyle w:val="SourceCode"/>
        <w:numPr>
          <w:ilvl w:val="0"/>
          <w:numId w:val="1000"/>
        </w:numPr>
      </w:pPr>
      <w:r>
        <w:rPr>
          <w:rStyle w:val="KeywordTok"/>
        </w:rPr>
        <w:t xml:space="preserve">def</w:t>
      </w:r>
      <w:r>
        <w:rPr>
          <w:rStyle w:val="NormalTok"/>
        </w:rPr>
        <w:t xml:space="preserve"> example_function():</w:t>
      </w:r>
      <w:r>
        <w:br/>
      </w:r>
      <w:r>
        <w:rPr>
          <w:rStyle w:val="NormalTok"/>
        </w:rPr>
        <w:t xml:space="preserve">    </w:t>
      </w:r>
      <w:r>
        <w:rPr>
          <w:rStyle w:val="CommentTok"/>
        </w:rPr>
        <w:t xml:space="preserve">"""Demonstrates code inclusion."""</w:t>
      </w:r>
      <w:r>
        <w:br/>
      </w:r>
      <w:r>
        <w:rPr>
          <w:rStyle w:val="NormalTok"/>
        </w:rPr>
        <w:t xml:space="preserve">    </w:t>
      </w:r>
      <w:r>
        <w:rPr>
          <w:rStyle w:val="ControlFlowTok"/>
        </w:rPr>
        <w:t xml:space="preserve">return</w:t>
      </w:r>
      <w:r>
        <w:rPr>
          <w:rStyle w:val="NormalTok"/>
        </w:rPr>
        <w:t xml:space="preserve"> </w:t>
      </w:r>
      <w:r>
        <w:rPr>
          <w:rStyle w:val="StringTok"/>
        </w:rPr>
        <w:t xml:space="preserve">"Hello world"</w:t>
      </w:r>
    </w:p>
    <w:p>
      <w:pPr>
        <w:numPr>
          <w:ilvl w:val="0"/>
          <w:numId w:val="1004"/>
        </w:numPr>
      </w:pPr>
      <w:r>
        <w:t xml:space="preserve">Tables can be included in several ways. Here’s an R-generated table:</w:t>
      </w:r>
    </w:p>
    <w:tbl>
      <w:tblPr>
        <w:tblStyle w:val="Table"/>
        <w:tblW w:type="pct" w:w="5000"/>
        <w:tblLayout w:type="fixed"/>
        <w:tblLook w:firstRow="0" w:lastRow="0" w:firstColumn="0" w:lastColumn="0" w:noHBand="0" w:noVBand="0" w:val="0000"/>
      </w:tblPr>
      <w:tblGrid>
        <w:gridCol w:w="7920"/>
      </w:tblGrid>
      <w:tr>
        <w:tc>
          <w:tcPr/>
          <w:bookmarkStart w:id="26" w:name="tbl-example"/>
          <w:p>
            <w:pPr>
              <w:jc w:val="center"/>
            </w:pPr>
            <w:pPr>
              <w:jc w:val="start"/>
              <w:spacing w:before="200"/>
              <w:pStyle w:val="ImageCaption"/>
            </w:pPr>
            <w:r>
              <w:t xml:space="preserve">Table 1: Example table showing data organization</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jc w:val="center"/>
                  </w:pPr>
                  <w:r>
                    <w:t xml:space="preserve">Category</w:t>
                  </w:r>
                </w:p>
              </w:tc>
              <w:tc>
                <w:tcPr/>
                <w:p>
                  <w:pPr>
                    <w:pStyle w:val="Compact"/>
                    <w:jc w:val="left"/>
                    <w:jc w:val="center"/>
                  </w:pPr>
                  <w:r>
                    <w:t xml:space="preserve">Value</w:t>
                  </w:r>
                </w:p>
              </w:tc>
              <w:tc>
                <w:tcPr/>
                <w:p>
                  <w:pPr>
                    <w:pStyle w:val="Compact"/>
                    <w:jc w:val="left"/>
                    <w:jc w:val="center"/>
                  </w:pPr>
                  <w:r>
                    <w:t xml:space="preserve">Description</w:t>
                  </w:r>
                </w:p>
              </w:tc>
            </w:tr>
            <w:tr>
              <w:tc>
                <w:tcPr/>
                <w:p>
                  <w:pPr>
                    <w:pStyle w:val="Compact"/>
                    <w:jc w:val="left"/>
                    <w:jc w:val="center"/>
                  </w:pPr>
                  <w:r>
                    <w:t xml:space="preserve">A</w:t>
                  </w:r>
                </w:p>
              </w:tc>
              <w:tc>
                <w:tcPr/>
                <w:p>
                  <w:pPr>
                    <w:pStyle w:val="Compact"/>
                    <w:jc w:val="left"/>
                    <w:jc w:val="center"/>
                  </w:pPr>
                  <w:r>
                    <w:t xml:space="preserve">10</w:t>
                  </w:r>
                </w:p>
              </w:tc>
              <w:tc>
                <w:tcPr/>
                <w:p>
                  <w:pPr>
                    <w:pStyle w:val="Compact"/>
                    <w:jc w:val="left"/>
                    <w:jc w:val="center"/>
                  </w:pPr>
                  <w:r>
                    <w:t xml:space="preserve">First</w:t>
                  </w:r>
                </w:p>
              </w:tc>
            </w:tr>
            <w:tr>
              <w:tc>
                <w:tcPr/>
                <w:p>
                  <w:pPr>
                    <w:pStyle w:val="Compact"/>
                    <w:jc w:val="left"/>
                    <w:jc w:val="center"/>
                  </w:pPr>
                  <w:r>
                    <w:t xml:space="preserve">B</w:t>
                  </w:r>
                </w:p>
              </w:tc>
              <w:tc>
                <w:tcPr/>
                <w:p>
                  <w:pPr>
                    <w:pStyle w:val="Compact"/>
                    <w:jc w:val="left"/>
                    <w:jc w:val="center"/>
                  </w:pPr>
                  <w:r>
                    <w:t xml:space="preserve">20</w:t>
                  </w:r>
                </w:p>
              </w:tc>
              <w:tc>
                <w:tcPr/>
                <w:p>
                  <w:pPr>
                    <w:pStyle w:val="Compact"/>
                    <w:jc w:val="left"/>
                    <w:jc w:val="center"/>
                  </w:pPr>
                  <w:r>
                    <w:t xml:space="preserve">Second</w:t>
                  </w:r>
                </w:p>
              </w:tc>
            </w:tr>
            <w:tr>
              <w:tc>
                <w:tcPr/>
                <w:p>
                  <w:pPr>
                    <w:pStyle w:val="Compact"/>
                    <w:jc w:val="left"/>
                    <w:jc w:val="center"/>
                  </w:pPr>
                  <w:r>
                    <w:t xml:space="preserve">C</w:t>
                  </w:r>
                </w:p>
              </w:tc>
              <w:tc>
                <w:tcPr/>
                <w:p>
                  <w:pPr>
                    <w:pStyle w:val="Compact"/>
                    <w:jc w:val="left"/>
                    <w:jc w:val="center"/>
                  </w:pPr>
                  <w:r>
                    <w:t xml:space="preserve">30</w:t>
                  </w:r>
                </w:p>
              </w:tc>
              <w:tc>
                <w:tcPr/>
                <w:p>
                  <w:pPr>
                    <w:pStyle w:val="Compact"/>
                    <w:jc w:val="left"/>
                    <w:jc w:val="center"/>
                  </w:pPr>
                  <w:r>
                    <w:t xml:space="preserve">Third</w:t>
                  </w:r>
                </w:p>
              </w:tc>
            </w:tr>
          </w:tbl>
          <w:bookmarkEnd w:id="26"/>
          <w:p/>
        </w:tc>
      </w:tr>
    </w:tbl>
    <w:p>
      <w:pPr>
        <w:pStyle w:val="BodyText"/>
      </w:pPr>
      <w:r>
        <w:rPr>
          <w:vertAlign w:val="subscript"/>
        </w:rPr>
        <w:t xml:space="preserve">Source:</w:t>
      </w:r>
      <w:r>
        <w:rPr>
          <w:vertAlign w:val="subscript"/>
        </w:rPr>
        <w:t xml:space="preserve"> </w:t>
      </w:r>
      <w:hyperlink r:id="rId27">
        <w:r>
          <w:rPr>
            <w:rStyle w:val="Hyperlink"/>
            <w:vertAlign w:val="subscript"/>
          </w:rPr>
          <w:t xml:space="preserve">Article Notebook</w:t>
        </w:r>
      </w:hyperlink>
    </w:p>
    <w:bookmarkEnd w:id="28"/>
    <w:bookmarkStart w:id="60" w:name="advanced-document-features"/>
    <w:p>
      <w:pPr>
        <w:pStyle w:val="Heading1"/>
      </w:pPr>
      <w:r>
        <w:t xml:space="preserve">3. Advanced Document Features</w:t>
      </w:r>
    </w:p>
    <w:bookmarkStart w:id="30" w:name="sec-tables"/>
    <w:p>
      <w:pPr>
        <w:pStyle w:val="Heading2"/>
      </w:pPr>
      <w:r>
        <w:t xml:space="preserve">3.1 Complex Tables and Formatting</w:t>
      </w:r>
    </w:p>
    <w:p>
      <w:pPr>
        <w:pStyle w:val="Compact"/>
        <w:numPr>
          <w:ilvl w:val="0"/>
          <w:numId w:val="1005"/>
        </w:numPr>
      </w:pPr>
      <w:r>
        <w:t xml:space="preserve">Complex tables can include multiple header levels, custom formatting, and footnotes.</w:t>
      </w:r>
      <w:r>
        <w:t xml:space="preserve"> </w:t>
      </w:r>
      <w:r>
        <w:t xml:space="preserve">Here’s an example using the</w:t>
      </w:r>
      <w:r>
        <w:t xml:space="preserve"> </w:t>
      </w:r>
      <w:r>
        <w:rPr>
          <w:rStyle w:val="VerbatimChar"/>
        </w:rPr>
        <w:t xml:space="preserve">kable</w:t>
      </w:r>
      <w:r>
        <w:t xml:space="preserve"> </w:t>
      </w:r>
      <w:r>
        <w:t xml:space="preserve">function with custom CSS:</w:t>
      </w:r>
    </w:p>
    <w:p>
      <w:pPr>
        <w:pStyle w:val="FirstParagraph"/>
      </w:pPr>
      <w:r>
        <w:rPr>
          <w:vertAlign w:val="subscript"/>
        </w:rPr>
        <w:t xml:space="preserve">Source:</w:t>
      </w:r>
      <w:r>
        <w:rPr>
          <w:vertAlign w:val="subscript"/>
        </w:rPr>
        <w:t xml:space="preserve"> </w:t>
      </w:r>
      <w:hyperlink r:id="rId27">
        <w:r>
          <w:rPr>
            <w:rStyle w:val="Hyperlink"/>
            <w:vertAlign w:val="subscript"/>
          </w:rPr>
          <w:t xml:space="preserve">Article Notebook</w:t>
        </w:r>
      </w:hyperlink>
    </w:p>
    <w:tbl>
      <w:tblPr>
        <w:tblStyle w:val="Table"/>
        <w:tblW w:type="pct" w:w="5000"/>
        <w:tblLayout w:type="fixed"/>
        <w:tblLook w:firstRow="0" w:lastRow="0" w:firstColumn="0" w:lastColumn="0" w:noHBand="0" w:noVBand="0" w:val="0000"/>
      </w:tblPr>
      <w:tblGrid>
        <w:gridCol w:w="7920"/>
      </w:tblGrid>
      <w:tr>
        <w:tc>
          <w:tcPr/>
          <w:bookmarkStart w:id="29" w:name="tbl-complex"/>
          <w:p>
            <w:pPr>
              <w:jc w:val="center"/>
            </w:pPr>
            <w:pPr>
              <w:jc w:val="start"/>
              <w:spacing w:before="200"/>
              <w:pStyle w:val="ImageCaption"/>
            </w:pPr>
            <w:r>
              <w:t xml:space="preserve">Table 2: Demonstration of Complex Table Formatting</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jc w:val="center"/>
                  </w:pPr>
                  <w:r>
                    <w:t xml:space="preserve">Category</w:t>
                  </w:r>
                </w:p>
              </w:tc>
              <w:tc>
                <w:tcPr/>
                <w:p>
                  <w:pPr>
                    <w:pStyle w:val="Compact"/>
                    <w:jc w:val="left"/>
                    <w:jc w:val="center"/>
                  </w:pPr>
                  <w:r>
                    <w:t xml:space="preserve">Description</w:t>
                  </w:r>
                </w:p>
              </w:tc>
              <w:tc>
                <w:tcPr/>
                <w:p>
                  <w:pPr>
                    <w:pStyle w:val="Compact"/>
                    <w:jc w:val="left"/>
                    <w:jc w:val="center"/>
                  </w:pPr>
                  <w:r>
                    <w:t xml:space="preserve">Value1</w:t>
                  </w:r>
                </w:p>
              </w:tc>
              <w:tc>
                <w:tcPr/>
                <w:p>
                  <w:pPr>
                    <w:pStyle w:val="Compact"/>
                    <w:jc w:val="left"/>
                    <w:jc w:val="center"/>
                  </w:pPr>
                  <w:r>
                    <w:t xml:space="preserve">Value2</w:t>
                  </w:r>
                </w:p>
              </w:tc>
              <w:tc>
                <w:tcPr/>
                <w:p>
                  <w:pPr>
                    <w:pStyle w:val="Compact"/>
                    <w:jc w:val="left"/>
                    <w:jc w:val="center"/>
                  </w:pPr>
                  <w:r>
                    <w:t xml:space="preserve">Notes</w:t>
                  </w:r>
                </w:p>
              </w:tc>
            </w:tr>
            <w:tr>
              <w:tc>
                <w:tcPr/>
                <w:p>
                  <w:pPr>
                    <w:pStyle w:val="Compact"/>
                    <w:jc w:val="left"/>
                    <w:jc w:val="center"/>
                  </w:pPr>
                  <w:r>
                    <w:t xml:space="preserve">Type A</w:t>
                  </w:r>
                </w:p>
              </w:tc>
              <w:tc>
                <w:tcPr/>
                <w:p>
                  <w:pPr>
                    <w:pStyle w:val="Compact"/>
                    <w:jc w:val="left"/>
                    <w:jc w:val="center"/>
                  </w:pPr>
                  <w:r>
                    <w:t xml:space="preserve">Complex description with details</w:t>
                  </w:r>
                </w:p>
              </w:tc>
              <w:tc>
                <w:tcPr/>
                <w:p>
                  <w:pPr>
                    <w:pStyle w:val="Compact"/>
                    <w:jc w:val="left"/>
                    <w:jc w:val="center"/>
                  </w:pPr>
                  <w:r>
                    <w:t xml:space="preserve">10.5</w:t>
                  </w:r>
                </w:p>
              </w:tc>
              <w:tc>
                <w:tcPr/>
                <w:p>
                  <w:pPr>
                    <w:pStyle w:val="Compact"/>
                    <w:jc w:val="left"/>
                    <w:jc w:val="center"/>
                  </w:pPr>
                  <w:r>
                    <w:t xml:space="preserve">45.2</w:t>
                  </w:r>
                </w:p>
              </w:tc>
              <w:tc>
                <w:tcPr/>
                <w:p>
                  <w:pPr>
                    <w:pStyle w:val="Compact"/>
                    <w:jc w:val="left"/>
                    <w:jc w:val="center"/>
                  </w:pPr>
                  <w:r>
                    <w:t xml:space="preserve">Special case*</w:t>
                  </w:r>
                </w:p>
              </w:tc>
            </w:tr>
            <w:tr>
              <w:tc>
                <w:tcPr/>
                <w:p>
                  <w:pPr>
                    <w:pStyle w:val="Compact"/>
                    <w:jc w:val="left"/>
                    <w:jc w:val="center"/>
                  </w:pPr>
                  <w:r>
                    <w:t xml:space="preserve">Type B</w:t>
                  </w:r>
                </w:p>
              </w:tc>
              <w:tc>
                <w:tcPr/>
                <w:p>
                  <w:pPr>
                    <w:pStyle w:val="Compact"/>
                    <w:jc w:val="left"/>
                    <w:jc w:val="center"/>
                  </w:pPr>
                  <w:r>
                    <w:t xml:space="preserve">Another detailed description</w:t>
                  </w:r>
                </w:p>
              </w:tc>
              <w:tc>
                <w:tcPr/>
                <w:p>
                  <w:pPr>
                    <w:pStyle w:val="Compact"/>
                    <w:jc w:val="left"/>
                    <w:jc w:val="center"/>
                  </w:pPr>
                  <w:r>
                    <w:t xml:space="preserve">20.3</w:t>
                  </w:r>
                </w:p>
              </w:tc>
              <w:tc>
                <w:tcPr/>
                <w:p>
                  <w:pPr>
                    <w:pStyle w:val="Compact"/>
                    <w:jc w:val="left"/>
                    <w:jc w:val="center"/>
                  </w:pPr>
                  <w:r>
                    <w:t xml:space="preserve">33.1</w:t>
                  </w:r>
                </w:p>
              </w:tc>
              <w:tc>
                <w:tcPr/>
                <w:p>
                  <w:pPr>
                    <w:pStyle w:val="Compact"/>
                    <w:jc w:val="left"/>
                    <w:jc w:val="center"/>
                  </w:pPr>
                  <w:r>
                    <w:t xml:space="preserve">Standard</w:t>
                  </w:r>
                </w:p>
              </w:tc>
            </w:tr>
            <w:tr>
              <w:tc>
                <w:tcPr/>
                <w:p>
                  <w:pPr>
                    <w:pStyle w:val="Compact"/>
                    <w:jc w:val="left"/>
                    <w:jc w:val="center"/>
                  </w:pPr>
                  <w:r>
                    <w:t xml:space="preserve">Type C</w:t>
                  </w:r>
                </w:p>
              </w:tc>
              <w:tc>
                <w:tcPr/>
                <w:p>
                  <w:pPr>
                    <w:pStyle w:val="Compact"/>
                    <w:jc w:val="left"/>
                    <w:jc w:val="center"/>
                  </w:pPr>
                  <w:r>
                    <w:t xml:space="preserve">Third detailed element</w:t>
                  </w:r>
                </w:p>
              </w:tc>
              <w:tc>
                <w:tcPr/>
                <w:p>
                  <w:pPr>
                    <w:pStyle w:val="Compact"/>
                    <w:jc w:val="left"/>
                    <w:jc w:val="center"/>
                  </w:pPr>
                  <w:r>
                    <w:t xml:space="preserve">15.7</w:t>
                  </w:r>
                </w:p>
              </w:tc>
              <w:tc>
                <w:tcPr/>
                <w:p>
                  <w:pPr>
                    <w:pStyle w:val="Compact"/>
                    <w:jc w:val="left"/>
                    <w:jc w:val="center"/>
                  </w:pPr>
                  <w:r>
                    <w:t xml:space="preserve">28.9</w:t>
                  </w:r>
                </w:p>
              </w:tc>
              <w:tc>
                <w:tcPr/>
                <w:p>
                  <w:pPr>
                    <w:pStyle w:val="Compact"/>
                    <w:jc w:val="left"/>
                    <w:jc w:val="center"/>
                  </w:pPr>
                  <w:r>
                    <w:t xml:space="preserve">Modified†</w:t>
                  </w:r>
                </w:p>
              </w:tc>
            </w:tr>
          </w:tbl>
          <w:bookmarkEnd w:id="29"/>
          <w:p/>
        </w:tc>
      </w:tr>
    </w:tbl>
    <w:p>
      <w:pPr>
        <w:pStyle w:val="BodyText"/>
      </w:pPr>
      <w:r>
        <w:rPr>
          <w:vertAlign w:val="subscript"/>
        </w:rPr>
        <w:t xml:space="preserve">Source:</w:t>
      </w:r>
      <w:r>
        <w:rPr>
          <w:vertAlign w:val="subscript"/>
        </w:rPr>
        <w:t xml:space="preserve"> </w:t>
      </w:r>
      <w:hyperlink r:id="rId27">
        <w:r>
          <w:rPr>
            <w:rStyle w:val="Hyperlink"/>
            <w:vertAlign w:val="subscript"/>
          </w:rPr>
          <w:t xml:space="preserve">Article Notebook</w:t>
        </w:r>
      </w:hyperlink>
    </w:p>
    <w:p>
      <w:pPr>
        <w:pStyle w:val="Compact"/>
        <w:numPr>
          <w:ilvl w:val="0"/>
          <w:numId w:val="1006"/>
        </w:numPr>
      </w:pPr>
      <w:r>
        <w:t xml:space="preserve">Indicates special condition</w:t>
      </w:r>
      <w:r>
        <w:t xml:space="preserve"> </w:t>
      </w:r>
      <w:r>
        <w:t xml:space="preserve">† Modified calculation applied</w:t>
      </w:r>
    </w:p>
    <w:bookmarkEnd w:id="30"/>
    <w:bookmarkStart w:id="40" w:name="sec-callouts"/>
    <w:p>
      <w:pPr>
        <w:pStyle w:val="Heading2"/>
      </w:pPr>
      <w:r>
        <w:t xml:space="preserve">3.2 Callout Boxes and Special Content</w:t>
      </w:r>
    </w:p>
    <w:p>
      <w:pPr>
        <w:pStyle w:val="Compact"/>
        <w:numPr>
          <w:ilvl w:val="0"/>
          <w:numId w:val="1007"/>
        </w:numPr>
      </w:pPr>
      <w:r>
        <w:t xml:space="preserve">Callout boxes can highlight important information: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 Note Title</w:t>
            </w:r>
          </w:p>
        </w:tc>
      </w:tr>
      <w:tr>
        <w:trPr>
          <w:cantSplit/>
        </w:trPr>
        <w:tc>
          <w:tcPr>
            <w:tcMar>
              <w:top w:w="108" w:type="dxa"/>
              <w:bottom w:w="108" w:type="dxa"/>
            </w:tcMar>
          </w:tcPr>
          <w:p>
            <w:pPr>
              <w:pStyle w:val="BodyText"/>
            </w:pPr>
            <w:pPr>
              <w:spacing w:before="16"/>
            </w:pPr>
            <w:r>
              <w:t xml:space="preserve">This is an example note callout. It can contain:</w:t>
            </w:r>
          </w:p>
          <w:p>
            <w:pPr>
              <w:pStyle w:val="Compact"/>
              <w:numPr>
                <w:ilvl w:val="0"/>
                <w:numId w:val="1008"/>
              </w:numPr>
            </w:pPr>
            <w:r>
              <w:t xml:space="preserve">Bullet points</w:t>
            </w:r>
          </w:p>
          <w:p>
            <w:pPr>
              <w:pStyle w:val="Compact"/>
              <w:numPr>
                <w:ilvl w:val="0"/>
                <w:numId w:val="1008"/>
              </w:numPr>
            </w:pPr>
            <w:r>
              <w:rPr>
                <w:i/>
                <w:iCs/>
              </w:rPr>
              <w:t xml:space="preserve">Formatted text</w:t>
            </w:r>
          </w:p>
          <w:p>
            <w:pPr>
              <w:pStyle w:val="Compact"/>
              <w:numPr>
                <w:ilvl w:val="0"/>
                <w:numId w:val="1008"/>
              </w:numPr>
            </w:pPr>
            <w:r>
              <w:t xml:space="preserve">Even</w:t>
            </w:r>
            <w:r>
              <w:t xml:space="preserve"> </w:t>
            </w:r>
            <w:r>
              <w:rPr>
                <w:rStyle w:val="VerbatimChar"/>
              </w:rPr>
              <w:t xml:space="preserve">code snippets</w:t>
            </w:r>
          </w:p>
        </w:tc>
      </w:tr>
    </w:tbl>
    <w:p>
      <w:pPr>
        <w:pStyle w:val="FirstParagraph"/>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Applications/quarto/share/formats/docx/warning.png" id="3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Caution</w:t>
            </w:r>
          </w:p>
        </w:tc>
      </w:tr>
      <w:tr>
        <w:trPr>
          <w:cantSplit/>
        </w:trPr>
        <w:tc>
          <w:tcPr>
            <w:tcMar>
              <w:top w:w="108" w:type="dxa"/>
              <w:bottom w:w="108" w:type="dxa"/>
            </w:tcMar>
          </w:tcPr>
          <w:p>
            <w:pPr>
              <w:pStyle w:val="BodyText"/>
            </w:pPr>
            <w:pPr>
              <w:spacing w:before="16" w:after="16"/>
            </w:pPr>
            <w:r>
              <w:t xml:space="preserve">Warning callouts use different styling and icons.</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Applications/quarto/share/formats/docx/tip.png" id="39"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Suggestion</w:t>
            </w:r>
          </w:p>
        </w:tc>
      </w:tr>
      <w:tr>
        <w:trPr>
          <w:cantSplit/>
        </w:trPr>
        <w:tc>
          <w:tcPr>
            <w:tcMar>
              <w:top w:w="108" w:type="dxa"/>
              <w:bottom w:w="108" w:type="dxa"/>
            </w:tcMar>
          </w:tcPr>
          <w:p>
            <w:pPr>
              <w:pStyle w:val="BodyText"/>
            </w:pPr>
            <w:pPr>
              <w:spacing w:before="16" w:after="16"/>
            </w:pPr>
            <w:r>
              <w:t xml:space="preserve">Tips use a different style and icon.</w:t>
            </w:r>
          </w:p>
        </w:tc>
      </w:tr>
    </w:tbl>
    <w:bookmarkEnd w:id="40"/>
    <w:bookmarkStart w:id="50" w:name="sec-figures"/>
    <w:p>
      <w:pPr>
        <w:pStyle w:val="Heading2"/>
      </w:pPr>
      <w:r>
        <w:t xml:space="preserve">3.3 Multi-Panel Figures</w:t>
      </w:r>
    </w:p>
    <w:p>
      <w:pPr>
        <w:pStyle w:val="Compact"/>
        <w:numPr>
          <w:ilvl w:val="0"/>
          <w:numId w:val="1009"/>
        </w:numPr>
      </w:pPr>
      <w:r>
        <w:t xml:space="preserve">Complex figures can combine multiple panels with individual captions:</w:t>
      </w:r>
    </w:p>
    <w:bookmarkStart w:id="49" w:name="fig-panels"/>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44" w:name="fig-panels-1"/>
                <w:p>
                  <w:pPr>
                    <w:pStyle w:val="Compact"/>
                    <w:jc w:val="center"/>
                    <w:jc w:val="left"/>
                  </w:pPr>
                  <w:r>
                    <w:drawing>
                      <wp:inline>
                        <wp:extent cx="2971800" cy="2377440"/>
                        <wp:effectExtent b="0" l="0" r="0" t="0"/>
                        <wp:docPr descr="" title="" id="42" name="Picture"/>
                        <a:graphic>
                          <a:graphicData uri="http://schemas.openxmlformats.org/drawingml/2006/picture">
                            <pic:pic>
                              <pic:nvPicPr>
                                <pic:cNvPr descr="index_files/figure-docx/fig-panels-1.png" id="43" name="Picture"/>
                                <pic:cNvPicPr>
                                  <a:picLocks noChangeArrowheads="1" noChangeAspect="1"/>
                                </pic:cNvPicPr>
                              </pic:nvPicPr>
                              <pic:blipFill>
                                <a:blip r:embed="rId41"/>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Panel A shows first element</w:t>
                  </w:r>
                </w:p>
                <w:bookmarkEnd w:id="44"/>
              </w:tc>
            </w:tr>
          </w:tbl>
          <w:p/>
        </w:tc>
        <w:tc>
          <w:tcPr/>
          <w:tbl>
            <w:tblPr>
              <w:tblStyle w:val="Table"/>
              <w:tblW w:type="pct" w:w="4900"/>
              <w:tblLayout w:type="fixed"/>
              <w:tblLook w:firstRow="0" w:lastRow="0" w:firstColumn="0" w:lastColumn="0" w:noHBand="0" w:noVBand="0" w:val="0000"/>
            </w:tblPr>
            <w:tblGrid>
              <w:gridCol w:w="7761"/>
            </w:tblGrid>
            <w:tr>
              <w:tc>
                <w:tcPr/>
                <w:bookmarkStart w:id="48" w:name="fig-panels-2"/>
                <w:p>
                  <w:pPr>
                    <w:pStyle w:val="Compact"/>
                    <w:jc w:val="center"/>
                    <w:jc w:val="left"/>
                  </w:pPr>
                  <w:r>
                    <w:drawing>
                      <wp:inline>
                        <wp:extent cx="2971800" cy="2377440"/>
                        <wp:effectExtent b="0" l="0" r="0" t="0"/>
                        <wp:docPr descr="" title="" id="46" name="Picture"/>
                        <a:graphic>
                          <a:graphicData uri="http://schemas.openxmlformats.org/drawingml/2006/picture">
                            <pic:pic>
                              <pic:nvPicPr>
                                <pic:cNvPr descr="index_files/figure-docx/fig-panels-2.png" id="47" name="Picture"/>
                                <pic:cNvPicPr>
                                  <a:picLocks noChangeArrowheads="1" noChangeAspect="1"/>
                                </pic:cNvPicPr>
                              </pic:nvPicPr>
                              <pic:blipFill>
                                <a:blip r:embed="rId45"/>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Panel B shows second element</w:t>
                  </w:r>
                </w:p>
                <w:bookmarkEnd w:id="48"/>
              </w:tc>
            </w:tr>
          </w:tbl>
          <w:p/>
        </w:tc>
      </w:tr>
    </w:tbl>
    <w:p>
      <w:pPr>
        <w:pStyle w:val="BodyText"/>
      </w:pPr>
      <w:pPr>
        <w:spacing w:before="200"/>
        <w:pStyle w:val="ImageCaption"/>
      </w:pPr>
      <w:r>
        <w:t xml:space="preserve">Figure 2: Multi-panel figure demonstration</w:t>
      </w:r>
    </w:p>
    <w:bookmarkEnd w:id="49"/>
    <w:bookmarkEnd w:id="50"/>
    <w:bookmarkStart w:id="52" w:name="sec-cross-ref"/>
    <w:p>
      <w:pPr>
        <w:pStyle w:val="Heading2"/>
      </w:pPr>
      <w:r>
        <w:t xml:space="preserve">3.4 Advanced Cross-Referencing</w:t>
      </w:r>
    </w:p>
    <w:p>
      <w:pPr>
        <w:pStyle w:val="Compact"/>
        <w:numPr>
          <w:ilvl w:val="0"/>
          <w:numId w:val="1010"/>
        </w:numPr>
      </w:pPr>
      <w:r>
        <w:t xml:space="preserve">Cross-references can be used for various elements:</w:t>
      </w:r>
    </w:p>
    <w:p>
      <w:pPr>
        <w:pStyle w:val="Compact"/>
        <w:numPr>
          <w:ilvl w:val="1"/>
          <w:numId w:val="1011"/>
        </w:numPr>
      </w:pPr>
      <w:r>
        <w:t xml:space="preserve">Figures: See</w:t>
      </w:r>
      <w:r>
        <w:t xml:space="preserve"> </w:t>
      </w:r>
      <w:hyperlink w:anchor="fig-panels">
        <w:r>
          <w:rPr>
            <w:rStyle w:val="Hyperlink"/>
          </w:rPr>
          <w:t xml:space="preserve">Figure 2</w:t>
        </w:r>
      </w:hyperlink>
      <w:r>
        <w:t xml:space="preserve"> </w:t>
      </w:r>
      <w:r>
        <w:t xml:space="preserve">for a multi-panel example</w:t>
      </w:r>
    </w:p>
    <w:p>
      <w:pPr>
        <w:pStyle w:val="Compact"/>
        <w:numPr>
          <w:ilvl w:val="1"/>
          <w:numId w:val="1011"/>
        </w:numPr>
      </w:pPr>
      <w:r>
        <w:t xml:space="preserve">Tables: As shown in</w:t>
      </w:r>
      <w:r>
        <w:t xml:space="preserve"> </w:t>
      </w:r>
      <w:hyperlink w:anchor="tbl-complex">
        <w:r>
          <w:rPr>
            <w:rStyle w:val="Hyperlink"/>
          </w:rPr>
          <w:t xml:space="preserve">Table 2</w:t>
        </w:r>
      </w:hyperlink>
    </w:p>
    <w:p>
      <w:pPr>
        <w:pStyle w:val="Compact"/>
        <w:numPr>
          <w:ilvl w:val="1"/>
          <w:numId w:val="1011"/>
        </w:numPr>
      </w:pPr>
      <w:r>
        <w:t xml:space="preserve">Equations: Reference equation</w:t>
      </w:r>
      <w:r>
        <w:t xml:space="preserve"> </w:t>
      </w:r>
      <w:hyperlink w:anchor="eq-example">
        <w:r>
          <w:rPr>
            <w:rStyle w:val="Hyperlink"/>
          </w:rPr>
          <w:t xml:space="preserve">Equation 1</w:t>
        </w:r>
      </w:hyperlink>
      <w:r>
        <w:t xml:space="preserve"> </w:t>
      </w:r>
      <w:r>
        <w:t xml:space="preserve">below</w:t>
      </w:r>
    </w:p>
    <w:p>
      <w:pPr>
        <w:pStyle w:val="Compact"/>
        <w:numPr>
          <w:ilvl w:val="1"/>
          <w:numId w:val="1011"/>
        </w:numPr>
      </w:pPr>
      <w:r>
        <w:t xml:space="preserve">Sections: Refer to earlier section on tables (#sec-tables)</w:t>
      </w:r>
    </w:p>
    <w:p>
      <w:pPr>
        <w:pStyle w:val="Compact"/>
        <w:numPr>
          <w:ilvl w:val="0"/>
          <w:numId w:val="1010"/>
        </w:numPr>
      </w:pPr>
      <w:r>
        <w:t xml:space="preserve">Mathematical equations can be numbered and referenced:</w:t>
      </w:r>
    </w:p>
    <w:p>
      <w:pPr>
        <w:pStyle w:val="FirstParagraph"/>
      </w:pPr>
      <w:bookmarkStart w:id="51" w:name="eq-example"/>
      <m:oMathPara>
        <m:oMathParaPr>
          <m:jc m:val="center"/>
        </m:oMathParaPr>
        <m:oMath>
          <m:r>
            <m:t>f</m:t>
          </m:r>
          <m:d>
            <m:dPr>
              <m:begChr m:val="("/>
              <m:endChr m:val=")"/>
              <m:sepChr m:val=""/>
              <m:grow/>
            </m:dPr>
            <m:e>
              <m:r>
                <m:t>x</m:t>
              </m:r>
            </m:e>
          </m:d>
          <m:r>
            <m:rPr>
              <m:sty m:val="p"/>
            </m:rPr>
            <m:t>=</m:t>
          </m:r>
          <m:r>
            <m:t>a</m:t>
          </m:r>
          <m:sSup>
            <m:e>
              <m:r>
                <m:t>x</m:t>
              </m:r>
            </m:e>
            <m:sup>
              <m:r>
                <m:t>2</m:t>
              </m:r>
            </m:sup>
          </m:sSup>
          <m:r>
            <m:rPr>
              <m:sty m:val="p"/>
            </m:rPr>
            <m:t>+</m:t>
          </m:r>
          <m:r>
            <m:t>b</m:t>
          </m:r>
          <m:r>
            <m:t>x</m:t>
          </m:r>
          <m:r>
            <m:rPr>
              <m:sty m:val="p"/>
            </m:rPr>
            <m:t>+</m:t>
          </m:r>
          <m:r>
            <m:t>c</m:t>
          </m:r>
          <m:r>
            <m:t>  </m:t>
          </m:r>
          <m:d>
            <m:dPr>
              <m:begChr m:val="("/>
              <m:endChr m:val=")"/>
              <m:sepChr m:val=""/>
              <m:grow/>
            </m:dPr>
            <m:e>
              <m:r>
                <m:t>1</m:t>
              </m:r>
            </m:e>
          </m:d>
        </m:oMath>
      </m:oMathPara>
      <w:bookmarkEnd w:id="51"/>
    </w:p>
    <w:p>
      <w:pPr>
        <w:pStyle w:val="Compact"/>
        <w:numPr>
          <w:ilvl w:val="0"/>
          <w:numId w:val="1012"/>
        </w:numPr>
      </w:pPr>
      <w:r>
        <w:t xml:space="preserve">Inline mathematics can use single dollar signs:</w:t>
      </w:r>
      <w:r>
        <w:t xml:space="preserve"> </w:t>
      </w:r>
      <m:oMath>
        <m:r>
          <m:t>E</m:t>
        </m:r>
        <m:r>
          <m:rPr>
            <m:sty m:val="p"/>
          </m:rPr>
          <m:t>=</m:t>
        </m:r>
        <m:r>
          <m:t>m</m:t>
        </m:r>
        <m:sSup>
          <m:e>
            <m:r>
              <m:t>c</m:t>
            </m:r>
          </m:e>
          <m:sup>
            <m:r>
              <m:t>2</m:t>
            </m:r>
          </m:sup>
        </m:sSup>
      </m:oMath>
    </w:p>
    <w:bookmarkEnd w:id="52"/>
    <w:bookmarkStart w:id="55" w:name="sec-infrastructure"/>
    <w:p>
      <w:pPr>
        <w:pStyle w:val="Heading2"/>
      </w:pPr>
      <w:r>
        <w:t xml:space="preserve">3.5 Document Infrastructure</w:t>
      </w:r>
    </w:p>
    <w:p>
      <w:pPr>
        <w:pStyle w:val="Compact"/>
        <w:numPr>
          <w:ilvl w:val="0"/>
          <w:numId w:val="1013"/>
        </w:numPr>
      </w:pPr>
      <w:r>
        <w:t xml:space="preserve">This template supports:</w:t>
      </w:r>
    </w:p>
    <w:p>
      <w:pPr>
        <w:pStyle w:val="Compact"/>
        <w:numPr>
          <w:ilvl w:val="1"/>
          <w:numId w:val="1014"/>
        </w:numPr>
      </w:pPr>
      <w:r>
        <w:t xml:space="preserve">Automatic table of contents generation</w:t>
      </w:r>
    </w:p>
    <w:p>
      <w:pPr>
        <w:pStyle w:val="Compact"/>
        <w:numPr>
          <w:ilvl w:val="1"/>
          <w:numId w:val="1014"/>
        </w:numPr>
      </w:pPr>
      <w:r>
        <w:t xml:space="preserve">List of figures and tables</w:t>
      </w:r>
    </w:p>
    <w:p>
      <w:pPr>
        <w:pStyle w:val="Compact"/>
        <w:numPr>
          <w:ilvl w:val="1"/>
          <w:numId w:val="1014"/>
        </w:numPr>
      </w:pPr>
      <w:r>
        <w:t xml:space="preserve">Custom header and footer content</w:t>
      </w:r>
    </w:p>
    <w:p>
      <w:pPr>
        <w:pStyle w:val="Compact"/>
        <w:numPr>
          <w:ilvl w:val="1"/>
          <w:numId w:val="1014"/>
        </w:numPr>
      </w:pPr>
      <w:r>
        <w:t xml:space="preserve">Bibliography management</w:t>
      </w:r>
    </w:p>
    <w:p>
      <w:pPr>
        <w:pStyle w:val="Compact"/>
        <w:numPr>
          <w:ilvl w:val="1"/>
          <w:numId w:val="1014"/>
        </w:numPr>
      </w:pPr>
      <w:r>
        <w:t xml:space="preserve">Multiple citation styles</w:t>
      </w:r>
      <w:r>
        <w:t xml:space="preserve"> </w:t>
      </w:r>
      <w:r>
        <w:t xml:space="preserve">(Global Reporting Initiative, n.d.; Taskforce on Nature-related Financial Disclosures 2024)</w:t>
      </w:r>
    </w:p>
    <w:p>
      <w:pPr>
        <w:pStyle w:val="Compact"/>
        <w:numPr>
          <w:ilvl w:val="0"/>
          <w:numId w:val="1013"/>
        </w:numPr>
      </w:pPr>
      <w:r>
        <w:t xml:space="preserve">Example of a complex citation block:</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Applications/quarto/share/formats/docx/note.png" id="54"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Citation Example</w:t>
            </w:r>
          </w:p>
        </w:tc>
      </w:tr>
      <w:tr>
        <w:trPr>
          <w:cantSplit/>
        </w:trPr>
        <w:tc>
          <w:tcPr>
            <w:tcMar>
              <w:top w:w="108" w:type="dxa"/>
              <w:bottom w:w="108" w:type="dxa"/>
            </w:tcMar>
          </w:tcPr>
          <w:p>
            <w:pPr>
              <w:pStyle w:val="BodyText"/>
            </w:pPr>
            <w:pPr>
              <w:spacing w:before="16" w:after="16"/>
            </w:pPr>
            <w:r>
              <w:t xml:space="preserve">According to</w:t>
            </w:r>
            <w:r>
              <w:t xml:space="preserve"> </w:t>
            </w:r>
            <w:r>
              <w:t xml:space="preserve">Capitals Coalition (2024, 23)</w:t>
            </w:r>
            <w:r>
              <w:t xml:space="preserve">, this specific method has several advantages.</w:t>
            </w:r>
            <w:r>
              <w:t xml:space="preserve"> </w:t>
            </w:r>
            <w:r>
              <w:t xml:space="preserve">Multiple citations can be combined</w:t>
            </w:r>
            <w:r>
              <w:t xml:space="preserve"> </w:t>
            </w:r>
            <w:r>
              <w:t xml:space="preserve">(Taskforce on Nature-related Financial Disclosures 2024; Taskforce on Climate-related Financial Disclosures 2024)</w:t>
            </w:r>
            <w:r>
              <w:t xml:space="preserve">, and page numbers can be</w:t>
            </w:r>
            <w:r>
              <w:t xml:space="preserve"> </w:t>
            </w:r>
            <w:r>
              <w:t xml:space="preserve">included</w:t>
            </w:r>
            <w:r>
              <w:t xml:space="preserve"> </w:t>
            </w:r>
            <w:r>
              <w:t xml:space="preserve">(Global Reporting Initiative, n.d., 15–17)</w:t>
            </w:r>
            <w:r>
              <w:t xml:space="preserve">.</w:t>
            </w:r>
          </w:p>
        </w:tc>
      </w:tr>
    </w:tbl>
    <w:bookmarkEnd w:id="55"/>
    <w:bookmarkStart w:id="57" w:name="sec-interactive"/>
    <w:p>
      <w:pPr>
        <w:pStyle w:val="Heading2"/>
      </w:pPr>
      <w:r>
        <w:t xml:space="preserve">3.6 Interactive Elements</w:t>
      </w:r>
    </w:p>
    <w:p>
      <w:pPr>
        <w:pStyle w:val="Compact"/>
        <w:numPr>
          <w:ilvl w:val="0"/>
          <w:numId w:val="1015"/>
        </w:numPr>
      </w:pPr>
      <w:r>
        <w:t xml:space="preserve">When outputting to HTML, interactive elements can be included:</w:t>
      </w:r>
    </w:p>
    <w:bookmarkStart w:id="56" w:name="cell-fig-interactive"/>
    <w:p>
      <w:pPr>
        <w:pStyle w:val="FirstParagraph"/>
      </w:pPr>
      <w:r>
        <w:rPr>
          <w:vertAlign w:val="subscript"/>
        </w:rPr>
        <w:t xml:space="preserve">Source:</w:t>
      </w:r>
      <w:r>
        <w:rPr>
          <w:vertAlign w:val="subscript"/>
        </w:rPr>
        <w:t xml:space="preserve"> </w:t>
      </w:r>
      <w:hyperlink r:id="rId27">
        <w:r>
          <w:rPr>
            <w:rStyle w:val="Hyperlink"/>
            <w:vertAlign w:val="subscript"/>
          </w:rPr>
          <w:t xml:space="preserve">Article Notebook</w:t>
        </w:r>
      </w:hyperlink>
    </w:p>
    <w:bookmarkEnd w:id="56"/>
    <w:bookmarkEnd w:id="57"/>
    <w:bookmarkStart w:id="59" w:name="sec-appendix"/>
    <w:p>
      <w:pPr>
        <w:pStyle w:val="Heading2"/>
      </w:pPr>
      <w:r>
        <w:t xml:space="preserve">3.7 Appendix</w:t>
      </w:r>
    </w:p>
    <w:p>
      <w:pPr>
        <w:pStyle w:val="FirstParagraph"/>
      </w:pPr>
      <w:r>
        <w:t xml:space="preserve">Additional tables and supplementary information can be included here. The template supports</w:t>
      </w:r>
      <w:r>
        <w:t xml:space="preserve"> </w:t>
      </w:r>
      <w:r>
        <w:t xml:space="preserve">multiple appendices and complex table layouts:</w:t>
      </w:r>
    </w:p>
    <w:tbl>
      <w:tblPr>
        <w:tblStyle w:val="Table"/>
        <w:tblW w:type="pct" w:w="5000"/>
        <w:tblLayout w:type="fixed"/>
        <w:tblLook w:firstRow="0" w:lastRow="0" w:firstColumn="0" w:lastColumn="0" w:noHBand="0" w:noVBand="0" w:val="0000"/>
      </w:tblPr>
      <w:tblGrid>
        <w:gridCol w:w="7920"/>
      </w:tblGrid>
      <w:tr>
        <w:tc>
          <w:tcPr/>
          <w:bookmarkStart w:id="58" w:name="tbl-appendix"/>
          <w:p>
            <w:pPr>
              <w:jc w:val="center"/>
            </w:pPr>
            <w:pPr>
              <w:jc w:val="start"/>
              <w:spacing w:before="200"/>
              <w:pStyle w:val="ImageCaption"/>
            </w:pPr>
            <w:r>
              <w:t xml:space="preserve">Table 3: Example Appendix Table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jc w:val="center"/>
                  </w:pPr>
                  <w:r>
                    <w:t xml:space="preserve">Category</w:t>
                  </w:r>
                </w:p>
              </w:tc>
              <w:tc>
                <w:tcPr/>
                <w:p>
                  <w:pPr>
                    <w:pStyle w:val="Compact"/>
                    <w:jc w:val="left"/>
                    <w:jc w:val="center"/>
                  </w:pPr>
                  <w:r>
                    <w:t xml:space="preserve">Description</w:t>
                  </w:r>
                </w:p>
              </w:tc>
              <w:tc>
                <w:tcPr/>
                <w:p>
                  <w:pPr>
                    <w:pStyle w:val="Compact"/>
                    <w:jc w:val="left"/>
                    <w:jc w:val="center"/>
                  </w:pPr>
                  <w:r>
                    <w:t xml:space="preserve">Value</w:t>
                  </w:r>
                </w:p>
              </w:tc>
            </w:tr>
            <w:tr>
              <w:tc>
                <w:tcPr/>
                <w:p>
                  <w:pPr>
                    <w:pStyle w:val="Compact"/>
                    <w:jc w:val="left"/>
                    <w:jc w:val="center"/>
                  </w:pPr>
                  <w:r>
                    <w:t xml:space="preserve">Type 1</w:t>
                  </w:r>
                </w:p>
              </w:tc>
              <w:tc>
                <w:tcPr/>
                <w:p>
                  <w:pPr>
                    <w:pStyle w:val="Compact"/>
                    <w:jc w:val="left"/>
                    <w:jc w:val="center"/>
                  </w:pPr>
                  <w:r>
                    <w:t xml:space="preserve">Detailed example text</w:t>
                  </w:r>
                </w:p>
              </w:tc>
              <w:tc>
                <w:tcPr/>
                <w:p>
                  <w:pPr>
                    <w:pStyle w:val="Compact"/>
                    <w:jc w:val="left"/>
                    <w:jc w:val="center"/>
                  </w:pPr>
                  <w:r>
                    <w:t xml:space="preserve">High</w:t>
                  </w:r>
                </w:p>
              </w:tc>
            </w:tr>
            <w:tr>
              <w:tc>
                <w:tcPr/>
                <w:p>
                  <w:pPr>
                    <w:pStyle w:val="Compact"/>
                    <w:jc w:val="left"/>
                    <w:jc w:val="center"/>
                  </w:pPr>
                  <w:r>
                    <w:t xml:space="preserve">Type 2</w:t>
                  </w:r>
                </w:p>
              </w:tc>
              <w:tc>
                <w:tcPr/>
                <w:p>
                  <w:pPr>
                    <w:pStyle w:val="Compact"/>
                    <w:jc w:val="left"/>
                    <w:jc w:val="center"/>
                  </w:pPr>
                  <w:r>
                    <w:t xml:space="preserve">More example content</w:t>
                  </w:r>
                </w:p>
              </w:tc>
              <w:tc>
                <w:tcPr/>
                <w:p>
                  <w:pPr>
                    <w:pStyle w:val="Compact"/>
                    <w:jc w:val="left"/>
                    <w:jc w:val="center"/>
                  </w:pPr>
                  <w:r>
                    <w:t xml:space="preserve">Medium</w:t>
                  </w:r>
                </w:p>
              </w:tc>
            </w:tr>
            <w:tr>
              <w:tc>
                <w:tcPr/>
                <w:p>
                  <w:pPr>
                    <w:pStyle w:val="Compact"/>
                    <w:jc w:val="left"/>
                    <w:jc w:val="center"/>
                  </w:pPr>
                  <w:r>
                    <w:t xml:space="preserve">Type 3</w:t>
                  </w:r>
                </w:p>
              </w:tc>
              <w:tc>
                <w:tcPr/>
                <w:p>
                  <w:pPr>
                    <w:pStyle w:val="Compact"/>
                    <w:jc w:val="left"/>
                    <w:jc w:val="center"/>
                  </w:pPr>
                  <w:r>
                    <w:t xml:space="preserve">Final example entry</w:t>
                  </w:r>
                </w:p>
              </w:tc>
              <w:tc>
                <w:tcPr/>
                <w:p>
                  <w:pPr>
                    <w:pStyle w:val="Compact"/>
                    <w:jc w:val="left"/>
                    <w:jc w:val="center"/>
                  </w:pPr>
                  <w:r>
                    <w:t xml:space="preserve">Low</w:t>
                  </w:r>
                </w:p>
              </w:tc>
            </w:tr>
          </w:tbl>
          <w:bookmarkEnd w:id="58"/>
          <w:p/>
        </w:tc>
      </w:tr>
    </w:tbl>
    <w:p>
      <w:pPr>
        <w:pStyle w:val="BodyText"/>
      </w:pPr>
      <w:r>
        <w:rPr>
          <w:vertAlign w:val="subscript"/>
        </w:rPr>
        <w:t xml:space="preserve">Source:</w:t>
      </w:r>
      <w:r>
        <w:rPr>
          <w:vertAlign w:val="subscript"/>
        </w:rPr>
        <w:t xml:space="preserve"> </w:t>
      </w:r>
      <w:hyperlink r:id="rId27">
        <w:r>
          <w:rPr>
            <w:rStyle w:val="Hyperlink"/>
            <w:vertAlign w:val="subscript"/>
          </w:rPr>
          <w:t xml:space="preserve">Article Notebook</w:t>
        </w:r>
      </w:hyperlink>
    </w:p>
    <w:bookmarkEnd w:id="59"/>
    <w:bookmarkEnd w:id="60"/>
    <w:bookmarkStart w:id="70" w:name="appendix"/>
    <w:p>
      <w:pPr>
        <w:pStyle w:val="Heading1"/>
      </w:pPr>
      <w:r>
        <w:t xml:space="preserve">Appendix</w:t>
      </w:r>
    </w:p>
    <w:p>
      <w:pPr>
        <w:pStyle w:val="FirstParagraph"/>
      </w:pPr>
      <w:r>
        <w:t xml:space="preserve">Note that references need to be included in BibTex format in the relevant file (references.bib)</w:t>
      </w:r>
    </w:p>
    <w:bookmarkStart w:id="69" w:name="refs"/>
    <w:bookmarkStart w:id="62" w:name="ref-capitals_coalition_2024"/>
    <w:p>
      <w:pPr>
        <w:pStyle w:val="Bibliography"/>
      </w:pPr>
      <w:r>
        <w:t xml:space="preserve">Capitals Coalition. 2024.</w:t>
      </w:r>
      <w:r>
        <w:t xml:space="preserve"> </w:t>
      </w:r>
      <w:r>
        <w:t xml:space="preserve">“Natural Capital Protocol.”</w:t>
      </w:r>
      <w:r>
        <w:t xml:space="preserve"> </w:t>
      </w:r>
      <w:r>
        <w:t xml:space="preserve">2024.</w:t>
      </w:r>
      <w:r>
        <w:t xml:space="preserve"> </w:t>
      </w:r>
      <w:hyperlink r:id="rId61">
        <w:r>
          <w:rPr>
            <w:rStyle w:val="Hyperlink"/>
          </w:rPr>
          <w:t xml:space="preserve">https://capitalscoalition.org/capitals-approach/natural-capital-protocol/?fwp_filter_tabs=guide_supplement</w:t>
        </w:r>
      </w:hyperlink>
      <w:r>
        <w:t xml:space="preserve">.</w:t>
      </w:r>
    </w:p>
    <w:bookmarkEnd w:id="62"/>
    <w:bookmarkStart w:id="64" w:name="ref-gri2021"/>
    <w:p>
      <w:pPr>
        <w:pStyle w:val="Bibliography"/>
      </w:pPr>
      <w:r>
        <w:t xml:space="preserve">Global Reporting Initiative. n.d.</w:t>
      </w:r>
      <w:r>
        <w:t xml:space="preserve"> </w:t>
      </w:r>
      <w:r>
        <w:t xml:space="preserve">“</w:t>
      </w:r>
      <w:r>
        <w:t xml:space="preserve">GRI</w:t>
      </w:r>
      <w:r>
        <w:t xml:space="preserve"> </w:t>
      </w:r>
      <w:r>
        <w:t xml:space="preserve">Standards.”</w:t>
      </w:r>
      <w:r>
        <w:t xml:space="preserve"> </w:t>
      </w:r>
      <w:r>
        <w:t xml:space="preserve">Global Reporting Initiative.</w:t>
      </w:r>
      <w:r>
        <w:t xml:space="preserve"> </w:t>
      </w:r>
      <w:hyperlink r:id="rId63">
        <w:r>
          <w:rPr>
            <w:rStyle w:val="Hyperlink"/>
          </w:rPr>
          <w:t xml:space="preserve">https://www.globalreporting.org/standards</w:t>
        </w:r>
      </w:hyperlink>
      <w:r>
        <w:t xml:space="preserve">.</w:t>
      </w:r>
    </w:p>
    <w:bookmarkEnd w:id="64"/>
    <w:bookmarkStart w:id="66" w:name="ref-tcfd_2024"/>
    <w:p>
      <w:pPr>
        <w:pStyle w:val="Bibliography"/>
      </w:pPr>
      <w:r>
        <w:t xml:space="preserve">Taskforce on Climate-related Financial Disclosures. 2024.</w:t>
      </w:r>
      <w:r>
        <w:t xml:space="preserve"> </w:t>
      </w:r>
      <w:r>
        <w:t xml:space="preserve">“TCFD Hub.”</w:t>
      </w:r>
      <w:r>
        <w:t xml:space="preserve"> </w:t>
      </w:r>
      <w:r>
        <w:t xml:space="preserve">2024.</w:t>
      </w:r>
      <w:r>
        <w:t xml:space="preserve"> </w:t>
      </w:r>
      <w:hyperlink r:id="rId65">
        <w:r>
          <w:rPr>
            <w:rStyle w:val="Hyperlink"/>
          </w:rPr>
          <w:t xml:space="preserve">https://www.tcfdhub.org</w:t>
        </w:r>
      </w:hyperlink>
      <w:r>
        <w:t xml:space="preserve">.</w:t>
      </w:r>
    </w:p>
    <w:bookmarkEnd w:id="66"/>
    <w:bookmarkStart w:id="68" w:name="ref-tnfd_2024"/>
    <w:p>
      <w:pPr>
        <w:pStyle w:val="Bibliography"/>
      </w:pPr>
      <w:r>
        <w:t xml:space="preserve">Taskforce on Nature-related Financial Disclosures. 2024.</w:t>
      </w:r>
      <w:r>
        <w:t xml:space="preserve"> </w:t>
      </w:r>
      <w:r>
        <w:t xml:space="preserve">“TNFD Global.”</w:t>
      </w:r>
      <w:r>
        <w:t xml:space="preserve"> </w:t>
      </w:r>
      <w:r>
        <w:t xml:space="preserve">2024.</w:t>
      </w:r>
      <w:r>
        <w:t xml:space="preserve"> </w:t>
      </w:r>
      <w:hyperlink r:id="rId67">
        <w:r>
          <w:rPr>
            <w:rStyle w:val="Hyperlink"/>
          </w:rPr>
          <w:t xml:space="preserve">https://tnfd.global</w:t>
        </w:r>
      </w:hyperlink>
      <w:r>
        <w:t xml:space="preserve">.</w:t>
      </w:r>
    </w:p>
    <w:bookmarkEnd w:id="68"/>
    <w:bookmarkEnd w:id="69"/>
    <w:bookmarkEnd w:id="7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Footnotes can be placed inline or collected at the end.</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7" Target="media/rId37.png" /><Relationship Type="http://schemas.openxmlformats.org/officeDocument/2006/relationships/image" Id="rId34" Target="media/rId34.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21" Target="media/rId21.png" /><Relationship Type="http://schemas.openxmlformats.org/officeDocument/2006/relationships/hyperlink" Id="rId27" Target="https://SustainableDevelopmentReform.github.io/Technical-Publishing/index.qmd.html" TargetMode="External" /><Relationship Type="http://schemas.openxmlformats.org/officeDocument/2006/relationships/hyperlink" Id="rId61" Target="https://capitalscoalition.org/capitals-approach/natural-capital-protocol/?fwp_filter_tabs=guide_supplement" TargetMode="External" /><Relationship Type="http://schemas.openxmlformats.org/officeDocument/2006/relationships/hyperlink" Id="rId67" Target="https://tnfd.global" TargetMode="External" /><Relationship Type="http://schemas.openxmlformats.org/officeDocument/2006/relationships/hyperlink" Id="rId63" Target="https://www.globalreporting.org/standards" TargetMode="External" /><Relationship Type="http://schemas.openxmlformats.org/officeDocument/2006/relationships/hyperlink" Id="rId65" Target="https://www.tcfdhub.org" TargetMode="External" /></Relationships>
</file>

<file path=word/_rels/footnotes.xml.rels><?xml version="1.0" encoding="UTF-8"?><Relationships xmlns="http://schemas.openxmlformats.org/package/2006/relationships"><Relationship Type="http://schemas.openxmlformats.org/officeDocument/2006/relationships/hyperlink" Id="rId27" Target="https://SustainableDevelopmentReform.github.io/Technical-Publishing/index.qmd.html" TargetMode="External" /><Relationship Type="http://schemas.openxmlformats.org/officeDocument/2006/relationships/hyperlink" Id="rId61" Target="https://capitalscoalition.org/capitals-approach/natural-capital-protocol/?fwp_filter_tabs=guide_supplement" TargetMode="External" /><Relationship Type="http://schemas.openxmlformats.org/officeDocument/2006/relationships/hyperlink" Id="rId67" Target="https://tnfd.global" TargetMode="External" /><Relationship Type="http://schemas.openxmlformats.org/officeDocument/2006/relationships/hyperlink" Id="rId63" Target="https://www.globalreporting.org/standards" TargetMode="External" /><Relationship Type="http://schemas.openxmlformats.org/officeDocument/2006/relationships/hyperlink" Id="rId65" Target="https://www.tcfdhub.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Example Document Template</dc:title>
  <dc:creator/>
  <cp:keywords>Keyword One, Keyword Two, Keyword Three</cp:keywords>
  <dcterms:created xsi:type="dcterms:W3CDTF">2025-01-08T23:47:24Z</dcterms:created>
  <dcterms:modified xsi:type="dcterms:W3CDTF">2025-01-08T23:47:24Z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template demonstrates the capabilities of Quarto for academic writing. It shows how to create complex documents with figures, tables, citations, and specialized formatting. The template supports multiple output formats including HTML, Word, and PDF via Typst.</vt:lpwstr>
  </property>
  <property fmtid="{D5CDD505-2E9C-101B-9397-08002B2CF9AE}" pid="3" name="abstract-title">
    <vt:lpwstr>Summary:</vt:lpwstr>
  </property>
  <property fmtid="{D5CDD505-2E9C-101B-9397-08002B2CF9AE}" pid="4" name="affiliations">
    <vt:lpwstr/>
  </property>
  <property fmtid="{D5CDD505-2E9C-101B-9397-08002B2CF9AE}" pid="5" name="authors">
    <vt:lpwstr/>
  </property>
  <property fmtid="{D5CDD505-2E9C-101B-9397-08002B2CF9AE}" pid="6" name="biblio-config">
    <vt:lpwstr>True</vt:lpwstr>
  </property>
  <property fmtid="{D5CDD505-2E9C-101B-9397-08002B2CF9AE}" pid="7" name="bibliography">
    <vt:lpwstr>references.bib</vt:lpwstr>
  </property>
  <property fmtid="{D5CDD505-2E9C-101B-9397-08002B2CF9AE}" pid="8" name="by-affiliation">
    <vt:lpwstr/>
  </property>
  <property fmtid="{D5CDD505-2E9C-101B-9397-08002B2CF9AE}" pid="9" name="by-author">
    <vt:lpwstr/>
  </property>
  <property fmtid="{D5CDD505-2E9C-101B-9397-08002B2CF9AE}" pid="10" name="citation">
    <vt:lpwstr/>
  </property>
  <property fmtid="{D5CDD505-2E9C-101B-9397-08002B2CF9AE}" pid="11" name="clear-hidden-classes">
    <vt:lpwstr>none</vt:lpwstr>
  </property>
  <property fmtid="{D5CDD505-2E9C-101B-9397-08002B2CF9AE}" pid="12" name="date">
    <vt:lpwstr>2024-12-20</vt:lpwstr>
  </property>
  <property fmtid="{D5CDD505-2E9C-101B-9397-08002B2CF9AE}" pid="13" name="editor">
    <vt:lpwstr>visual</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quarto-internal">
    <vt:lpwstr/>
  </property>
  <property fmtid="{D5CDD505-2E9C-101B-9397-08002B2CF9AE}" pid="23" name="remove-hidden">
    <vt:lpwstr>all</vt:lpwstr>
  </property>
  <property fmtid="{D5CDD505-2E9C-101B-9397-08002B2CF9AE}" pid="24" name="section-numbering">
    <vt:lpwstr>1.1.1</vt:lpwstr>
  </property>
  <property fmtid="{D5CDD505-2E9C-101B-9397-08002B2CF9AE}" pid="25" name="shortauthors">
    <vt:lpwstr>Author et al.</vt:lpwstr>
  </property>
  <property fmtid="{D5CDD505-2E9C-101B-9397-08002B2CF9AE}" pid="26" name="shorttitle">
    <vt:lpwstr>Template Guide</vt:lpwstr>
  </property>
  <property fmtid="{D5CDD505-2E9C-101B-9397-08002B2CF9AE}" pid="27" name="template-partials">
    <vt:lpwstr/>
  </property>
  <property fmtid="{D5CDD505-2E9C-101B-9397-08002B2CF9AE}" pid="28" name="theme">
    <vt:lpwstr>cosmo</vt:lpwstr>
  </property>
  <property fmtid="{D5CDD505-2E9C-101B-9397-08002B2CF9AE}" pid="29" name="title-block-style">
    <vt:lpwstr>manuscript</vt:lpwstr>
  </property>
  <property fmtid="{D5CDD505-2E9C-101B-9397-08002B2CF9AE}" pid="30" name="toc-title">
    <vt:lpwstr>Table of contents</vt:lpwstr>
  </property>
  <property fmtid="{D5CDD505-2E9C-101B-9397-08002B2CF9AE}" pid="31" name="unroll-markdown-cells">
    <vt:lpwstr>True</vt:lpwstr>
  </property>
</Properties>
</file>