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2.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2024-12-20</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tbl>
      <w:tblPr>
        <w:tblStyle w:val="Table"/>
        <w:tblW w:type="pct" w:w="5000"/>
        <w:tblLayout w:type="fixed"/>
        <w:tblLook w:firstRow="0" w:lastRow="0" w:firstColumn="0" w:lastColumn="0" w:noHBand="0" w:noVBand="0" w:val="0000"/>
      </w:tblPr>
      <w:tblGrid>
        <w:gridCol w:w="7920"/>
      </w:tblGrid>
      <w:tr>
        <w:tc>
          <w:tcPr/>
          <w:bookmarkStart w:id="25" w:name="fig-SEEA"/>
          <w:p>
            <w:pPr>
              <w:pStyle w:val="Compact"/>
              <w:jc w:val="center"/>
            </w:pPr>
            <w:r>
              <w:drawing>
                <wp:inline>
                  <wp:extent cx="5334000" cy="2540707"/>
                  <wp:effectExtent b="0" l="0" r="0" t="0"/>
                  <wp:docPr descr=""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tc>
      </w:tr>
    </w:tbl>
    <w:bookmarkEnd w:id="26"/>
    <w:bookmarkStart w:id="27"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tbl>
      <w:tblPr>
        <w:tblStyle w:val="Table"/>
        <w:tblW w:type="pct" w:w="5000"/>
        <w:tblLayout w:type="fixed"/>
        <w:tblLook w:firstRow="0" w:lastRow="0" w:firstColumn="0" w:lastColumn="0" w:noHBand="0" w:noVBand="0" w:val="0000"/>
      </w:tblPr>
      <w:tblGrid>
        <w:gridCol w:w="7920"/>
      </w:tblGrid>
      <w:tr>
        <w:tc>
          <w:tcPr/>
          <w:bookmarkStart w:id="35" w:name="fig-market"/>
          <w:p>
            <w:pPr>
              <w:pStyle w:val="Compact"/>
              <w:jc w:val="center"/>
            </w:pPr>
            <w:r>
              <w:drawing>
                <wp:inline>
                  <wp:extent cx="5334000" cy="2419367"/>
                  <wp:effectExtent b="0" l="0" r="0" t="0"/>
                  <wp:docPr descr=""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Methodology for market studies on sustainability-related investments. Source:</w:t>
            </w:r>
            <w:r>
              <w:t xml:space="preserve"> </w:t>
            </w:r>
            <w:r>
              <w:t xml:space="preserve">Eurosif (2024)</w:t>
            </w:r>
            <w:r>
              <w:t xml:space="preserve">.</w:t>
            </w:r>
          </w:p>
          <w:bookmarkEnd w:id="35"/>
        </w:tc>
      </w:tr>
    </w:tbl>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6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6"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tbl>
      <w:tblPr>
        <w:tblStyle w:val="Table"/>
        <w:tblW w:type="pct" w:w="5000"/>
        <w:tblLayout w:type="fixed"/>
        <w:tblLook w:firstRow="0" w:lastRow="0" w:firstColumn="0" w:lastColumn="0" w:noHBand="0" w:noVBand="0" w:val="0000"/>
      </w:tblPr>
      <w:tblGrid>
        <w:gridCol w:w="7920"/>
      </w:tblGrid>
      <w:tr>
        <w:tc>
          <w:tcPr/>
          <w:bookmarkStart w:id="41" w:name="fig-iris"/>
          <w:p>
            <w:pPr>
              <w:pStyle w:val="Compact"/>
              <w:jc w:val="center"/>
            </w:pPr>
            <w:r>
              <w:drawing>
                <wp:inline>
                  <wp:extent cx="5334000" cy="2133600"/>
                  <wp:effectExtent b="0" l="0" r="0" t="0"/>
                  <wp:docPr descr=""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Interconnectedness of IRIS+ Impact Categories and Themes as of May 2021. Source:</w:t>
            </w:r>
            <w:r>
              <w:t xml:space="preserve"> </w:t>
            </w:r>
            <w:hyperlink r:id="rId40">
              <w:r>
                <w:rPr>
                  <w:rStyle w:val="Hyperlink"/>
                </w:rPr>
                <w:t xml:space="preserve">iris.thegiin.org</w:t>
              </w:r>
            </w:hyperlink>
            <w:r>
              <w:t xml:space="preserve">.</w:t>
            </w:r>
          </w:p>
          <w:bookmarkEnd w:id="41"/>
        </w:tc>
      </w:tr>
    </w:tbl>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tbl>
      <w:tblPr>
        <w:tblStyle w:val="Table"/>
        <w:tblW w:type="pct" w:w="5000"/>
        <w:tblLayout w:type="fixed"/>
        <w:tblLook w:firstRow="0" w:lastRow="0" w:firstColumn="0" w:lastColumn="0" w:noHBand="0" w:noVBand="0" w:val="0000"/>
      </w:tblPr>
      <w:tblGrid>
        <w:gridCol w:w="7920"/>
      </w:tblGrid>
      <w:tr>
        <w:tc>
          <w:tcPr/>
          <w:bookmarkStart w:id="45" w:name="fig-approaches"/>
          <w:p>
            <w:pPr>
              <w:pStyle w:val="Compact"/>
              <w:jc w:val="center"/>
            </w:pPr>
            <w:r>
              <w:drawing>
                <wp:inline>
                  <wp:extent cx="5334000" cy="2835400"/>
                  <wp:effectExtent b="0" l="0" r="0" t="0"/>
                  <wp:docPr descr="" title="" id="43" name="Picture"/>
                  <a:graphic>
                    <a:graphicData uri="http://schemas.openxmlformats.org/drawingml/2006/picture">
                      <pic:pic>
                        <pic:nvPicPr>
                          <pic:cNvPr descr="media/Picture%204.png" id="44" name="Picture"/>
                          <pic:cNvPicPr>
                            <a:picLocks noChangeArrowheads="1" noChangeAspect="1"/>
                          </pic:cNvPicPr>
                        </pic:nvPicPr>
                        <pic:blipFill>
                          <a:blip r:embed="rId42"/>
                          <a:stretch>
                            <a:fillRect/>
                          </a:stretch>
                        </pic:blipFill>
                        <pic:spPr bwMode="auto">
                          <a:xfrm>
                            <a:off x="0" y="0"/>
                            <a:ext cx="5334000" cy="2835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tiers of analytical approaches to impact and ESG assessment</w:t>
            </w:r>
          </w:p>
          <w:bookmarkEnd w:id="45"/>
        </w:tc>
      </w:tr>
    </w:tbl>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6"/>
    <w:bookmarkStart w:id="47"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7"/>
    <w:bookmarkStart w:id="58"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49" w:name="tbl-standards"/>
          <w:p>
            <w:pPr>
              <w:jc w:val="center"/>
            </w:pPr>
            <w:pPr>
              <w:jc w:val="start"/>
              <w:spacing w:before="200"/>
              <w:pStyle w:val="ImageCaption"/>
            </w:pPr>
            <w:r>
              <w:t xml:space="preserve">Table 1: Overview of Climate-related Disclosure and Reporting Standards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Taskforce on Climate-related Financial Disclosures</w:t>
                  </w:r>
                </w:p>
              </w:tc>
              <w:tc>
                <w:tcPr/>
                <w:p>
                  <w:pPr>
                    <w:pStyle w:val="Compact"/>
                    <w:jc w:val="left"/>
                    <w:jc w:val="center"/>
                  </w:pPr>
                  <w:r>
                    <w:t xml:space="preserve">Climate-related financial disclosures</w:t>
                  </w:r>
                </w:p>
              </w:tc>
              <w:tc>
                <w:tcPr/>
                <w:p>
                  <w:pPr>
                    <w:pStyle w:val="Compact"/>
                    <w:jc w:val="left"/>
                    <w:jc w:val="center"/>
                  </w:pPr>
                  <w:r>
                    <w:t xml:space="preserve">Climate risk and opportunities</w:t>
                  </w:r>
                </w:p>
              </w:tc>
              <w:tc>
                <w:tcPr/>
                <w:p>
                  <w:pPr>
                    <w:pStyle w:val="Compact"/>
                    <w:jc w:val="left"/>
                    <w:jc w:val="center"/>
                  </w:pPr>
                  <w:r>
                    <w:t xml:space="preserve">Provide recommendations for diclosing climate-related risks and opportunities</w:t>
                  </w:r>
                </w:p>
              </w:tc>
              <w:tc>
                <w:tcPr/>
                <w:p>
                  <w:pPr>
                    <w:pStyle w:val="Compact"/>
                    <w:jc w:val="left"/>
                    <w:jc w:val="center"/>
                  </w:pPr>
                  <w:r>
                    <w:t xml:space="preserve">Wide adopted espectially in finance</w:t>
                  </w:r>
                </w:p>
              </w:tc>
            </w:tr>
            <w:tr>
              <w:tc>
                <w:tcPr/>
                <w:p>
                  <w:pPr>
                    <w:pStyle w:val="Compact"/>
                    <w:jc w:val="left"/>
                    <w:jc w:val="center"/>
                  </w:pPr>
                  <w:r>
                    <w:t xml:space="preserve">Global</w:t>
                  </w:r>
                </w:p>
              </w:tc>
              <w:tc>
                <w:tcPr/>
                <w:p>
                  <w:pPr>
                    <w:pStyle w:val="Compact"/>
                    <w:jc w:val="left"/>
                    <w:jc w:val="center"/>
                  </w:pPr>
                  <w:r>
                    <w:t xml:space="preserve">Carbon Disclosure Project</w:t>
                  </w:r>
                </w:p>
              </w:tc>
              <w:tc>
                <w:tcPr/>
                <w:p>
                  <w:pPr>
                    <w:pStyle w:val="Compact"/>
                    <w:jc w:val="left"/>
                    <w:jc w:val="center"/>
                  </w:pPr>
                  <w:r>
                    <w:t xml:space="preserve">Climate and environmental reporting</w:t>
                  </w:r>
                </w:p>
              </w:tc>
              <w:tc>
                <w:tcPr/>
                <w:p>
                  <w:pPr>
                    <w:pStyle w:val="Compact"/>
                    <w:jc w:val="left"/>
                    <w:jc w:val="center"/>
                  </w:pPr>
                  <w:r>
                    <w:t xml:space="preserve">Climate change, water, security, deforestation</w:t>
                  </w:r>
                </w:p>
              </w:tc>
              <w:tc>
                <w:tcPr/>
                <w:p>
                  <w:pPr>
                    <w:pStyle w:val="Compact"/>
                    <w:jc w:val="left"/>
                    <w:jc w:val="center"/>
                  </w:pPr>
                  <w:r>
                    <w:t xml:space="preserve">Enable compnaies to measure and manage their environmental impacts</w:t>
                  </w:r>
                </w:p>
              </w:tc>
              <w:tc>
                <w:tcPr/>
                <w:p>
                  <w:pPr>
                    <w:pStyle w:val="Compact"/>
                    <w:jc w:val="left"/>
                    <w:jc w:val="center"/>
                  </w:pPr>
                  <w:r>
                    <w:t xml:space="preserve">Widely used globally</w:t>
                  </w:r>
                </w:p>
              </w:tc>
            </w:tr>
            <w:tr>
              <w:tc>
                <w:tcPr/>
                <w:p>
                  <w:pPr>
                    <w:pStyle w:val="Compact"/>
                    <w:jc w:val="left"/>
                    <w:jc w:val="center"/>
                  </w:pPr>
                  <w:r>
                    <w:t xml:space="preserve">Global</w:t>
                  </w:r>
                </w:p>
              </w:tc>
              <w:tc>
                <w:tcPr/>
                <w:p>
                  <w:pPr>
                    <w:pStyle w:val="Compact"/>
                    <w:jc w:val="left"/>
                    <w:jc w:val="center"/>
                  </w:pPr>
                  <w:r>
                    <w:t xml:space="preserve">Integrated Reporting</w:t>
                  </w:r>
                </w:p>
              </w:tc>
              <w:tc>
                <w:tcPr/>
                <w:p>
                  <w:pPr>
                    <w:pStyle w:val="Compact"/>
                    <w:jc w:val="left"/>
                    <w:jc w:val="center"/>
                  </w:pPr>
                  <w:r>
                    <w:t xml:space="preserve">Financial, social and environmental reporting</w:t>
                  </w:r>
                </w:p>
              </w:tc>
              <w:tc>
                <w:tcPr/>
                <w:p>
                  <w:pPr>
                    <w:pStyle w:val="Compact"/>
                    <w:jc w:val="left"/>
                    <w:jc w:val="center"/>
                  </w:pPr>
                  <w:r>
                    <w:t xml:space="preserve">Financial performance, ecological, social metrics</w:t>
                  </w:r>
                </w:p>
              </w:tc>
              <w:tc>
                <w:tcPr/>
                <w:p>
                  <w:pPr>
                    <w:pStyle w:val="Compact"/>
                    <w:jc w:val="left"/>
                    <w:jc w:val="center"/>
                  </w:pPr>
                  <w:r>
                    <w:t xml:space="preserve">Promote transparency and holistic reporting</w:t>
                  </w:r>
                </w:p>
              </w:tc>
              <w:tc>
                <w:tcPr/>
                <w:p>
                  <w:pPr>
                    <w:pStyle w:val="Compact"/>
                    <w:jc w:val="left"/>
                    <w:jc w:val="center"/>
                  </w:pPr>
                  <w:r>
                    <w:t xml:space="preserve">Increasingly adopted by companies</w:t>
                  </w:r>
                </w:p>
              </w:tc>
            </w:tr>
            <w:tr>
              <w:tc>
                <w:tcPr/>
                <w:p>
                  <w:pPr>
                    <w:pStyle w:val="Compact"/>
                    <w:jc w:val="left"/>
                    <w:jc w:val="center"/>
                  </w:pPr>
                  <w:r>
                    <w:t xml:space="preserve">Global</w:t>
                  </w:r>
                </w:p>
              </w:tc>
              <w:tc>
                <w:tcPr/>
                <w:p>
                  <w:pPr>
                    <w:pStyle w:val="Compact"/>
                    <w:jc w:val="left"/>
                    <w:jc w:val="center"/>
                  </w:pPr>
                  <w:r>
                    <w:t xml:space="preserve">Science-based Targets Initiative</w:t>
                  </w:r>
                </w:p>
              </w:tc>
              <w:tc>
                <w:tcPr/>
                <w:p>
                  <w:pPr>
                    <w:pStyle w:val="Compact"/>
                    <w:jc w:val="left"/>
                    <w:jc w:val="center"/>
                  </w:pPr>
                  <w:r>
                    <w:t xml:space="preserve">Set science-based climate targets</w:t>
                  </w:r>
                </w:p>
              </w:tc>
              <w:tc>
                <w:tcPr/>
                <w:p>
                  <w:pPr>
                    <w:pStyle w:val="Compact"/>
                    <w:jc w:val="left"/>
                    <w:jc w:val="center"/>
                  </w:pPr>
                  <w:r>
                    <w:t xml:space="preserve">Corporate GHG emissions</w:t>
                  </w:r>
                </w:p>
              </w:tc>
              <w:tc>
                <w:tcPr/>
                <w:p>
                  <w:pPr>
                    <w:pStyle w:val="Compact"/>
                    <w:jc w:val="left"/>
                    <w:jc w:val="center"/>
                  </w:pPr>
                  <w:r>
                    <w:t xml:space="preserve">Help companies set GHG reduction targets in line with climate science</w:t>
                  </w:r>
                </w:p>
              </w:tc>
              <w:tc>
                <w:tcPr/>
                <w:p>
                  <w:pPr>
                    <w:pStyle w:val="Compact"/>
                    <w:jc w:val="left"/>
                    <w:jc w:val="center"/>
                  </w:pPr>
                  <w:r>
                    <w:t xml:space="preserve">Widely recognised especially in corporate sector</w:t>
                  </w:r>
                </w:p>
              </w:tc>
            </w:tr>
            <w:tr>
              <w:tc>
                <w:tcPr/>
                <w:p>
                  <w:pPr>
                    <w:pStyle w:val="Compact"/>
                    <w:jc w:val="left"/>
                    <w:jc w:val="center"/>
                  </w:pPr>
                  <w:r>
                    <w:t xml:space="preserve">USA</w:t>
                  </w:r>
                </w:p>
              </w:tc>
              <w:tc>
                <w:tcPr/>
                <w:p>
                  <w:pPr>
                    <w:pStyle w:val="Compact"/>
                    <w:jc w:val="left"/>
                    <w:jc w:val="center"/>
                  </w:pPr>
                  <w:r>
                    <w:t xml:space="preserve">Sustainability Accounting Standards Board</w:t>
                  </w:r>
                </w:p>
              </w:tc>
              <w:tc>
                <w:tcPr/>
                <w:p>
                  <w:pPr>
                    <w:pStyle w:val="Compact"/>
                    <w:jc w:val="left"/>
                    <w:jc w:val="center"/>
                  </w:pPr>
                  <w:r>
                    <w:t xml:space="preserve">Industry-specific standards</w:t>
                  </w:r>
                </w:p>
              </w:tc>
              <w:tc>
                <w:tcPr/>
                <w:p>
                  <w:pPr>
                    <w:pStyle w:val="Compact"/>
                    <w:jc w:val="left"/>
                    <w:jc w:val="center"/>
                  </w:pPr>
                  <w:r>
                    <w:t xml:space="preserve">Environmental, social, governance</w:t>
                  </w:r>
                </w:p>
              </w:tc>
              <w:tc>
                <w:tcPr/>
                <w:p>
                  <w:pPr>
                    <w:pStyle w:val="Compact"/>
                    <w:jc w:val="left"/>
                    <w:jc w:val="center"/>
                  </w:pPr>
                  <w:r>
                    <w:t xml:space="preserve">Provide industry-specific standards</w:t>
                  </w:r>
                </w:p>
              </w:tc>
              <w:tc>
                <w:tcPr/>
                <w:p>
                  <w:pPr>
                    <w:pStyle w:val="Compact"/>
                    <w:jc w:val="left"/>
                    <w:jc w:val="center"/>
                  </w:pPr>
                  <w:r>
                    <w:t xml:space="preserve">Growing adoption particularly in the US</w:t>
                  </w:r>
                </w:p>
              </w:tc>
            </w:tr>
            <w:tr>
              <w:tc>
                <w:tcPr/>
                <w:p>
                  <w:pPr>
                    <w:pStyle w:val="Compact"/>
                    <w:jc w:val="left"/>
                    <w:jc w:val="center"/>
                  </w:pPr>
                  <w:r>
                    <w:t xml:space="preserve">Global</w:t>
                  </w:r>
                </w:p>
              </w:tc>
              <w:tc>
                <w:tcPr/>
                <w:p>
                  <w:pPr>
                    <w:pStyle w:val="Compact"/>
                    <w:jc w:val="left"/>
                    <w:jc w:val="center"/>
                  </w:pPr>
                  <w:r>
                    <w:t xml:space="preserve">Climate Disclosure Standards Board</w:t>
                  </w:r>
                </w:p>
              </w:tc>
              <w:tc>
                <w:tcPr/>
                <w:p>
                  <w:pPr>
                    <w:pStyle w:val="Compact"/>
                    <w:jc w:val="left"/>
                    <w:jc w:val="center"/>
                  </w:pPr>
                  <w:r>
                    <w:t xml:space="preserve">Climate-related financial disclosures</w:t>
                  </w:r>
                </w:p>
              </w:tc>
              <w:tc>
                <w:tcPr/>
                <w:p>
                  <w:pPr>
                    <w:pStyle w:val="Compact"/>
                    <w:jc w:val="left"/>
                    <w:jc w:val="center"/>
                  </w:pPr>
                  <w:r>
                    <w:t xml:space="preserve">Environmental information</w:t>
                  </w:r>
                </w:p>
              </w:tc>
              <w:tc>
                <w:tcPr/>
                <w:p>
                  <w:pPr>
                    <w:pStyle w:val="Compact"/>
                    <w:jc w:val="left"/>
                    <w:jc w:val="center"/>
                  </w:pPr>
                  <w:r>
                    <w:t xml:space="preserve">Integrate climate-related information into mainstream financial reporting</w:t>
                  </w:r>
                </w:p>
              </w:tc>
              <w:tc>
                <w:tcPr/>
                <w:p>
                  <w:pPr>
                    <w:pStyle w:val="Compact"/>
                    <w:jc w:val="left"/>
                    <w:jc w:val="center"/>
                  </w:pPr>
                  <w:r>
                    <w:t xml:space="preserve">Increasingly recognised globally</w:t>
                  </w:r>
                </w:p>
              </w:tc>
            </w:tr>
            <w:tr>
              <w:tc>
                <w:tcPr/>
                <w:p>
                  <w:pPr>
                    <w:pStyle w:val="Compact"/>
                    <w:jc w:val="left"/>
                    <w:jc w:val="center"/>
                  </w:pPr>
                  <w:r>
                    <w:t xml:space="preserve">Global</w:t>
                  </w:r>
                </w:p>
              </w:tc>
              <w:tc>
                <w:tcPr/>
                <w:p>
                  <w:pPr>
                    <w:pStyle w:val="Compact"/>
                    <w:jc w:val="left"/>
                    <w:jc w:val="center"/>
                  </w:pPr>
                  <w:r>
                    <w:t xml:space="preserve">Global Reporting Initiative</w:t>
                  </w:r>
                </w:p>
              </w:tc>
              <w:tc>
                <w:tcPr/>
                <w:p>
                  <w:pPr>
                    <w:pStyle w:val="Compact"/>
                    <w:jc w:val="left"/>
                    <w:jc w:val="center"/>
                  </w:pPr>
                  <w:r>
                    <w:t xml:space="preserve">Sustainability reporting standards</w:t>
                  </w:r>
                </w:p>
              </w:tc>
              <w:tc>
                <w:tcPr/>
                <w:p>
                  <w:pPr>
                    <w:pStyle w:val="Compact"/>
                    <w:jc w:val="left"/>
                    <w:jc w:val="center"/>
                  </w:pPr>
                  <w:r>
                    <w:t xml:space="preserve">environmental, social, governance</w:t>
                  </w:r>
                </w:p>
              </w:tc>
              <w:tc>
                <w:tcPr/>
                <w:p>
                  <w:pPr>
                    <w:pStyle w:val="Compact"/>
                    <w:jc w:val="left"/>
                    <w:jc w:val="center"/>
                  </w:pPr>
                  <w:r>
                    <w:t xml:space="preserve">Provide comprehensive sustainability reporting guidelines</w:t>
                  </w:r>
                </w:p>
              </w:tc>
              <w:tc>
                <w:tcPr/>
                <w:p>
                  <w:pPr>
                    <w:pStyle w:val="Compact"/>
                    <w:jc w:val="left"/>
                    <w:jc w:val="center"/>
                  </w:pPr>
                  <w:r>
                    <w:t xml:space="preserve">Widely used globally</w:t>
                  </w:r>
                </w:p>
              </w:tc>
            </w:tr>
          </w:tbl>
          <w:bookmarkEnd w:id="4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tbl>
      <w:tblPr>
        <w:tblStyle w:val="Table"/>
        <w:tblW w:type="pct" w:w="5000"/>
        <w:tblLayout w:type="fixed"/>
        <w:tblLook w:firstRow="0" w:lastRow="0" w:firstColumn="0" w:lastColumn="0" w:noHBand="0" w:noVBand="0" w:val="0000"/>
      </w:tblPr>
      <w:tblGrid>
        <w:gridCol w:w="7920"/>
      </w:tblGrid>
      <w:tr>
        <w:tc>
          <w:tcPr/>
          <w:bookmarkStart w:id="53" w:name="fig-ESG"/>
          <w:p>
            <w:pPr>
              <w:pStyle w:val="Compact"/>
              <w:jc w:val="center"/>
            </w:pPr>
            <w:r>
              <w:drawing>
                <wp:inline>
                  <wp:extent cx="5334000" cy="2948811"/>
                  <wp:effectExtent b="0" l="0" r="0" t="0"/>
                  <wp:docPr descr="" title="" id="51" name="Picture"/>
                  <a:graphic>
                    <a:graphicData uri="http://schemas.openxmlformats.org/drawingml/2006/picture">
                      <pic:pic>
                        <pic:nvPicPr>
                          <pic:cNvPr descr="media/Picture%205.png" id="52" name="Picture"/>
                          <pic:cNvPicPr>
                            <a:picLocks noChangeArrowheads="1" noChangeAspect="1"/>
                          </pic:cNvPicPr>
                        </pic:nvPicPr>
                        <pic:blipFill>
                          <a:blip r:embed="rId50"/>
                          <a:stretch>
                            <a:fillRect/>
                          </a:stretch>
                        </pic:blipFill>
                        <pic:spPr bwMode="auto">
                          <a:xfrm>
                            <a:off x="0" y="0"/>
                            <a:ext cx="5334000" cy="29488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Role of guiding principles and frameworks for ESG investment assessment</w:t>
            </w:r>
          </w:p>
          <w:bookmarkEnd w:id="53"/>
        </w:tc>
      </w:tr>
    </w:tbl>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tbl>
      <w:tblPr>
        <w:tblStyle w:val="Table"/>
        <w:tblW w:type="pct" w:w="5000"/>
        <w:tblLayout w:type="fixed"/>
        <w:tblLook w:firstRow="0" w:lastRow="0" w:firstColumn="0" w:lastColumn="0" w:noHBand="0" w:noVBand="0" w:val="0000"/>
      </w:tblPr>
      <w:tblGrid>
        <w:gridCol w:w="7920"/>
      </w:tblGrid>
      <w:tr>
        <w:tc>
          <w:tcPr/>
          <w:bookmarkStart w:id="57" w:name="fig-impact"/>
          <w:p>
            <w:pPr>
              <w:pStyle w:val="Compact"/>
              <w:jc w:val="center"/>
            </w:pPr>
            <w:r>
              <w:drawing>
                <wp:inline>
                  <wp:extent cx="5334000" cy="2643536"/>
                  <wp:effectExtent b="0" l="0" r="0" t="0"/>
                  <wp:docPr descr="" title="" id="55" name="Picture"/>
                  <a:graphic>
                    <a:graphicData uri="http://schemas.openxmlformats.org/drawingml/2006/picture">
                      <pic:pic>
                        <pic:nvPicPr>
                          <pic:cNvPr descr="media/Picture%206.png" id="56" name="Picture"/>
                          <pic:cNvPicPr>
                            <a:picLocks noChangeArrowheads="1" noChangeAspect="1"/>
                          </pic:cNvPicPr>
                        </pic:nvPicPr>
                        <pic:blipFill>
                          <a:blip r:embed="rId54"/>
                          <a:stretch>
                            <a:fillRect/>
                          </a:stretch>
                        </pic:blipFill>
                        <pic:spPr bwMode="auto">
                          <a:xfrm>
                            <a:off x="0" y="0"/>
                            <a:ext cx="5334000" cy="26435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Role of guiding principles and frameworks for impact investment assessment</w:t>
            </w:r>
          </w:p>
          <w:bookmarkEnd w:id="57"/>
        </w:tc>
      </w:tr>
    </w:tbl>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8"/>
    <w:bookmarkStart w:id="60"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9" w:name="tbl-emissions"/>
          <w:p>
            <w:pPr>
              <w:jc w:val="center"/>
            </w:pPr>
            <w:pPr>
              <w:jc w:val="start"/>
              <w:spacing w:before="200"/>
              <w:pStyle w:val="ImageCaption"/>
            </w:pPr>
            <w:r>
              <w:t xml:space="preserve">Table 2: Overview of Climate Change and GHG Emissions Measurement and Verification Frameworks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Greenhouse Gas Protocol (GHG Protocol)</w:t>
                  </w:r>
                </w:p>
              </w:tc>
              <w:tc>
                <w:tcPr/>
                <w:p>
                  <w:pPr>
                    <w:pStyle w:val="Compact"/>
                    <w:jc w:val="left"/>
                    <w:jc w:val="center"/>
                  </w:pPr>
                  <w:r>
                    <w:t xml:space="preserve">Corporate, Project, Value Chain (Scope 1, 2, 3)</w:t>
                  </w:r>
                </w:p>
              </w:tc>
              <w:tc>
                <w:tcPr/>
                <w:p>
                  <w:pPr>
                    <w:pStyle w:val="Compact"/>
                    <w:jc w:val="left"/>
                    <w:jc w:val="center"/>
                  </w:pPr>
                  <w:r>
                    <w:t xml:space="preserve">Global</w:t>
                  </w:r>
                </w:p>
              </w:tc>
              <w:tc>
                <w:tcPr/>
                <w:p>
                  <w:pPr>
                    <w:pStyle w:val="Compact"/>
                    <w:jc w:val="left"/>
                    <w:jc w:val="center"/>
                  </w:pPr>
                  <w:r>
                    <w:t xml:space="preserve">Provide standardized approach for GHG accounting transparency consistency</w:t>
                  </w:r>
                </w:p>
              </w:tc>
              <w:tc>
                <w:tcPr/>
                <w:p>
                  <w:pPr>
                    <w:pStyle w:val="Compact"/>
                    <w:jc w:val="left"/>
                    <w:jc w:val="center"/>
                  </w:pPr>
                  <w:r>
                    <w:t xml:space="preserve">Widely adopted by businesses, governments, NGOs</w:t>
                  </w:r>
                </w:p>
              </w:tc>
            </w:tr>
            <w:tr>
              <w:tc>
                <w:tcPr/>
                <w:p>
                  <w:pPr>
                    <w:pStyle w:val="Compact"/>
                    <w:jc w:val="left"/>
                    <w:jc w:val="center"/>
                  </w:pPr>
                  <w:r>
                    <w:t xml:space="preserve">Global</w:t>
                  </w:r>
                </w:p>
              </w:tc>
              <w:tc>
                <w:tcPr/>
                <w:p>
                  <w:pPr>
                    <w:pStyle w:val="Compact"/>
                    <w:jc w:val="left"/>
                    <w:jc w:val="center"/>
                  </w:pPr>
                  <w:r>
                    <w:t xml:space="preserve">ISO 14064</w:t>
                  </w:r>
                </w:p>
              </w:tc>
              <w:tc>
                <w:tcPr/>
                <w:p>
                  <w:pPr>
                    <w:pStyle w:val="Compact"/>
                    <w:jc w:val="left"/>
                    <w:jc w:val="center"/>
                  </w:pPr>
                  <w:r>
                    <w:t xml:space="preserve">Organization (Part 1), Project (Part 2), Verification (Part 3)</w:t>
                  </w:r>
                </w:p>
              </w:tc>
              <w:tc>
                <w:tcPr/>
                <w:p>
                  <w:pPr>
                    <w:pStyle w:val="Compact"/>
                    <w:jc w:val="left"/>
                    <w:jc w:val="center"/>
                  </w:pPr>
                  <w:r>
                    <w:t xml:space="preserve">Global</w:t>
                  </w:r>
                </w:p>
              </w:tc>
              <w:tc>
                <w:tcPr/>
                <w:p>
                  <w:pPr>
                    <w:pStyle w:val="Compact"/>
                    <w:jc w:val="left"/>
                    <w:jc w:val="center"/>
                  </w:pPr>
                  <w:r>
                    <w:t xml:space="preserve">Guidelines for quantifying, reporting, and verifying GHG emissions</w:t>
                  </w:r>
                </w:p>
              </w:tc>
              <w:tc>
                <w:tcPr/>
                <w:p>
                  <w:pPr>
                    <w:pStyle w:val="Compact"/>
                    <w:jc w:val="left"/>
                    <w:jc w:val="center"/>
                  </w:pPr>
                  <w:r>
                    <w:t xml:space="preserve">Widely recognized and implemented globally</w:t>
                  </w:r>
                </w:p>
              </w:tc>
            </w:tr>
            <w:tr>
              <w:tc>
                <w:tcPr/>
                <w:p>
                  <w:pPr>
                    <w:pStyle w:val="Compact"/>
                    <w:jc w:val="left"/>
                    <w:jc w:val="center"/>
                  </w:pPr>
                  <w:r>
                    <w:t xml:space="preserve">Europe</w:t>
                  </w:r>
                </w:p>
              </w:tc>
              <w:tc>
                <w:tcPr/>
                <w:p>
                  <w:pPr>
                    <w:pStyle w:val="Compact"/>
                    <w:jc w:val="left"/>
                    <w:jc w:val="center"/>
                  </w:pPr>
                  <w:r>
                    <w:t xml:space="preserve">EU Emissions Trading System (EU ETS)</w:t>
                  </w:r>
                </w:p>
              </w:tc>
              <w:tc>
                <w:tcPr/>
                <w:p>
                  <w:pPr>
                    <w:pStyle w:val="Compact"/>
                    <w:jc w:val="left"/>
                    <w:jc w:val="center"/>
                  </w:pPr>
                  <w:r>
                    <w:t xml:space="preserve">Cap-and-trade system for power, industry, aviation</w:t>
                  </w:r>
                </w:p>
              </w:tc>
              <w:tc>
                <w:tcPr/>
                <w:p>
                  <w:pPr>
                    <w:pStyle w:val="Compact"/>
                    <w:jc w:val="left"/>
                    <w:jc w:val="center"/>
                  </w:pPr>
                  <w:r>
                    <w:t xml:space="preserve">Europe</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Europe</w:t>
                  </w:r>
                </w:p>
              </w:tc>
            </w:tr>
            <w:tr>
              <w:tc>
                <w:tcPr/>
                <w:p>
                  <w:pPr>
                    <w:pStyle w:val="Compact"/>
                    <w:jc w:val="left"/>
                    <w:jc w:val="center"/>
                  </w:pPr>
                  <w:r>
                    <w:t xml:space="preserve">Africa</w:t>
                  </w:r>
                </w:p>
              </w:tc>
              <w:tc>
                <w:tcPr/>
                <w:p>
                  <w:pPr>
                    <w:pStyle w:val="Compact"/>
                    <w:jc w:val="left"/>
                    <w:jc w:val="center"/>
                  </w:pPr>
                  <w:r>
                    <w:t xml:space="preserve">African Regional Standard (ARS 902)</w:t>
                  </w:r>
                </w:p>
              </w:tc>
              <w:tc>
                <w:tcPr/>
                <w:p>
                  <w:pPr>
                    <w:pStyle w:val="Compact"/>
                    <w:jc w:val="left"/>
                    <w:jc w:val="center"/>
                  </w:pPr>
                  <w:r>
                    <w:t xml:space="preserve">GHG emissions inventory</w:t>
                  </w:r>
                </w:p>
              </w:tc>
              <w:tc>
                <w:tcPr/>
                <w:p>
                  <w:pPr>
                    <w:pStyle w:val="Compact"/>
                    <w:jc w:val="left"/>
                    <w:jc w:val="center"/>
                  </w:pPr>
                  <w:r>
                    <w:t xml:space="preserve">Africa</w:t>
                  </w:r>
                </w:p>
              </w:tc>
              <w:tc>
                <w:tcPr/>
                <w:p>
                  <w:pPr>
                    <w:pStyle w:val="Compact"/>
                    <w:jc w:val="left"/>
                    <w:jc w:val="center"/>
                  </w:pPr>
                  <w:r>
                    <w:t xml:space="preserve">Standardized approach for GHG emissions inventory</w:t>
                  </w:r>
                </w:p>
              </w:tc>
              <w:tc>
                <w:tcPr/>
                <w:p>
                  <w:pPr>
                    <w:pStyle w:val="Compact"/>
                    <w:jc w:val="left"/>
                    <w:jc w:val="center"/>
                  </w:pPr>
                  <w:r>
                    <w:t xml:space="preserve">Increasing adoption across African countries</w:t>
                  </w:r>
                </w:p>
              </w:tc>
            </w:tr>
            <w:tr>
              <w:tc>
                <w:tcPr/>
                <w:p>
                  <w:pPr>
                    <w:pStyle w:val="Compact"/>
                    <w:jc w:val="left"/>
                    <w:jc w:val="center"/>
                  </w:pPr>
                  <w:r>
                    <w:t xml:space="preserve">Africa</w:t>
                  </w:r>
                </w:p>
              </w:tc>
              <w:tc>
                <w:tcPr/>
                <w:p>
                  <w:pPr>
                    <w:pStyle w:val="Compact"/>
                    <w:jc w:val="left"/>
                    <w:jc w:val="center"/>
                  </w:pPr>
                  <w:r>
                    <w:t xml:space="preserve">South Africa’s NGER Regulations</w:t>
                  </w:r>
                </w:p>
              </w:tc>
              <w:tc>
                <w:tcPr/>
                <w:p>
                  <w:pPr>
                    <w:pStyle w:val="Compact"/>
                    <w:jc w:val="left"/>
                    <w:jc w:val="center"/>
                  </w:pPr>
                  <w:r>
                    <w:t xml:space="preserve">Mandatory GHG reporting</w:t>
                  </w:r>
                </w:p>
              </w:tc>
              <w:tc>
                <w:tcPr/>
                <w:p>
                  <w:pPr>
                    <w:pStyle w:val="Compact"/>
                    <w:jc w:val="left"/>
                    <w:jc w:val="center"/>
                  </w:pPr>
                  <w:r>
                    <w:t xml:space="preserve">South Africa</w:t>
                  </w:r>
                </w:p>
              </w:tc>
              <w:tc>
                <w:tcPr/>
                <w:p>
                  <w:pPr>
                    <w:pStyle w:val="Compact"/>
                    <w:jc w:val="left"/>
                    <w:jc w:val="center"/>
                  </w:pPr>
                  <w:r>
                    <w:t xml:space="preserve">Regulatory compliance and GHG management</w:t>
                  </w:r>
                </w:p>
              </w:tc>
              <w:tc>
                <w:tcPr/>
                <w:p>
                  <w:pPr>
                    <w:pStyle w:val="Compact"/>
                    <w:jc w:val="left"/>
                    <w:jc w:val="center"/>
                  </w:pPr>
                  <w:r>
                    <w:t xml:space="preserve">Key regulation in South Africa</w:t>
                  </w:r>
                </w:p>
              </w:tc>
            </w:tr>
            <w:tr>
              <w:tc>
                <w:tcPr/>
                <w:p>
                  <w:pPr>
                    <w:pStyle w:val="Compact"/>
                    <w:jc w:val="left"/>
                    <w:jc w:val="center"/>
                  </w:pPr>
                  <w:r>
                    <w:t xml:space="preserve">Americas</w:t>
                  </w:r>
                </w:p>
              </w:tc>
              <w:tc>
                <w:tcPr/>
                <w:p>
                  <w:pPr>
                    <w:pStyle w:val="Compact"/>
                    <w:jc w:val="left"/>
                    <w:jc w:val="center"/>
                  </w:pPr>
                  <w:r>
                    <w:t xml:space="preserve">California Cap-and-Trade Program</w:t>
                  </w:r>
                </w:p>
              </w:tc>
              <w:tc>
                <w:tcPr/>
                <w:p>
                  <w:pPr>
                    <w:pStyle w:val="Compact"/>
                    <w:jc w:val="left"/>
                    <w:jc w:val="center"/>
                  </w:pPr>
                  <w:r>
                    <w:t xml:space="preserve">Cap-and-trade system for emissions</w:t>
                  </w:r>
                </w:p>
              </w:tc>
              <w:tc>
                <w:tcPr/>
                <w:p>
                  <w:pPr>
                    <w:pStyle w:val="Compact"/>
                    <w:jc w:val="left"/>
                    <w:jc w:val="center"/>
                  </w:pPr>
                  <w:r>
                    <w:t xml:space="preserve">United States (California)</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California</w:t>
                  </w:r>
                </w:p>
              </w:tc>
            </w:tr>
            <w:tr>
              <w:tc>
                <w:tcPr/>
                <w:p>
                  <w:pPr>
                    <w:pStyle w:val="Compact"/>
                    <w:jc w:val="left"/>
                    <w:jc w:val="center"/>
                  </w:pPr>
                  <w:r>
                    <w:t xml:space="preserve">Americas</w:t>
                  </w:r>
                </w:p>
              </w:tc>
              <w:tc>
                <w:tcPr/>
                <w:p>
                  <w:pPr>
                    <w:pStyle w:val="Compact"/>
                    <w:jc w:val="left"/>
                    <w:jc w:val="center"/>
                  </w:pPr>
                  <w:r>
                    <w:t xml:space="preserve">Climate Registry General Reporting Protocol (GRP)</w:t>
                  </w:r>
                </w:p>
              </w:tc>
              <w:tc>
                <w:tcPr/>
                <w:p>
                  <w:pPr>
                    <w:pStyle w:val="Compact"/>
                    <w:jc w:val="left"/>
                    <w:jc w:val="center"/>
                  </w:pPr>
                  <w:r>
                    <w:t xml:space="preserve">Voluntary GHG reporting</w:t>
                  </w:r>
                </w:p>
              </w:tc>
              <w:tc>
                <w:tcPr/>
                <w:p>
                  <w:pPr>
                    <w:pStyle w:val="Compact"/>
                    <w:jc w:val="left"/>
                    <w:jc w:val="center"/>
                  </w:pPr>
                  <w:r>
                    <w:t xml:space="preserve">Americas</w:t>
                  </w:r>
                </w:p>
              </w:tc>
              <w:tc>
                <w:tcPr/>
                <w:p>
                  <w:pPr>
                    <w:pStyle w:val="Compact"/>
                    <w:jc w:val="left"/>
                    <w:jc w:val="center"/>
                  </w:pPr>
                  <w:r>
                    <w:t xml:space="preserve">Standardize GHG emissions reporting for voluntary programs</w:t>
                  </w:r>
                </w:p>
              </w:tc>
              <w:tc>
                <w:tcPr/>
                <w:p>
                  <w:pPr>
                    <w:pStyle w:val="Compact"/>
                    <w:jc w:val="left"/>
                    <w:jc w:val="center"/>
                  </w:pPr>
                  <w:r>
                    <w:t xml:space="preserve">Widely used in North America</w:t>
                  </w:r>
                </w:p>
              </w:tc>
            </w:tr>
            <w:tr>
              <w:tc>
                <w:tcPr/>
                <w:p>
                  <w:pPr>
                    <w:pStyle w:val="Compact"/>
                    <w:jc w:val="left"/>
                    <w:jc w:val="center"/>
                  </w:pPr>
                  <w:r>
                    <w:t xml:space="preserve">Asia Pacific</w:t>
                  </w:r>
                </w:p>
              </w:tc>
              <w:tc>
                <w:tcPr/>
                <w:p>
                  <w:pPr>
                    <w:pStyle w:val="Compact"/>
                    <w:jc w:val="left"/>
                    <w:jc w:val="center"/>
                  </w:pPr>
                  <w:r>
                    <w:t xml:space="preserve">Japan’s GHG Accounting and Reporting System</w:t>
                  </w:r>
                </w:p>
              </w:tc>
              <w:tc>
                <w:tcPr/>
                <w:p>
                  <w:pPr>
                    <w:pStyle w:val="Compact"/>
                    <w:jc w:val="left"/>
                    <w:jc w:val="center"/>
                  </w:pPr>
                  <w:r>
                    <w:t xml:space="preserve">Mandatory GHG reporting</w:t>
                  </w:r>
                </w:p>
              </w:tc>
              <w:tc>
                <w:tcPr/>
                <w:p>
                  <w:pPr>
                    <w:pStyle w:val="Compact"/>
                    <w:jc w:val="left"/>
                    <w:jc w:val="center"/>
                  </w:pPr>
                  <w:r>
                    <w:t xml:space="preserve">Japan</w:t>
                  </w:r>
                </w:p>
              </w:tc>
              <w:tc>
                <w:tcPr/>
                <w:p>
                  <w:pPr>
                    <w:pStyle w:val="Compact"/>
                    <w:jc w:val="left"/>
                    <w:jc w:val="center"/>
                  </w:pPr>
                  <w:r>
                    <w:t xml:space="preserve">Regulatory compliance and GHG management</w:t>
                  </w:r>
                </w:p>
              </w:tc>
              <w:tc>
                <w:tcPr/>
                <w:p>
                  <w:pPr>
                    <w:pStyle w:val="Compact"/>
                    <w:jc w:val="left"/>
                    <w:jc w:val="center"/>
                  </w:pPr>
                  <w:r>
                    <w:t xml:space="preserve">Major regulation in Japan</w:t>
                  </w:r>
                </w:p>
              </w:tc>
            </w:tr>
          </w:tbl>
          <w:bookmarkEnd w:id="5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0"/>
    <w:bookmarkStart w:id="63"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61"/>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2" w:name="tbl-health"/>
          <w:p>
            <w:pPr>
              <w:jc w:val="center"/>
            </w:pPr>
            <w:pPr>
              <w:jc w:val="start"/>
              <w:spacing w:before="200"/>
              <w:pStyle w:val="ImageCaption"/>
            </w:pPr>
            <w:r>
              <w:t xml:space="preserve">Table 3: Overview of Measurement and Verification Frameworks focused on Ecological Health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Framework</w:t>
                  </w:r>
                </w:p>
              </w:tc>
              <w:tc>
                <w:tcPr/>
                <w:p>
                  <w:pPr>
                    <w:pStyle w:val="Compact"/>
                    <w:jc w:val="left"/>
                    <w:jc w:val="center"/>
                  </w:pPr>
                  <w:r>
                    <w:t xml:space="preserve">Purpose</w:t>
                  </w:r>
                </w:p>
              </w:tc>
              <w:tc>
                <w:tcPr/>
                <w:p>
                  <w:pPr>
                    <w:pStyle w:val="Compact"/>
                    <w:jc w:val="left"/>
                    <w:jc w:val="center"/>
                  </w:pPr>
                  <w:r>
                    <w:t xml:space="preserve">Scope</w:t>
                  </w:r>
                </w:p>
              </w:tc>
              <w:tc>
                <w:tcPr/>
                <w:p>
                  <w:pPr>
                    <w:pStyle w:val="Compact"/>
                    <w:jc w:val="left"/>
                    <w:jc w:val="center"/>
                  </w:pPr>
                  <w:r>
                    <w:t xml:space="preserve">Uptake</w:t>
                  </w:r>
                </w:p>
              </w:tc>
              <w:tc>
                <w:tcPr/>
                <w:p>
                  <w:pPr>
                    <w:pStyle w:val="Compact"/>
                    <w:jc w:val="left"/>
                    <w:jc w:val="center"/>
                  </w:pPr>
                  <w:r>
                    <w:t xml:space="preserve">Strengths</w:t>
                  </w:r>
                </w:p>
              </w:tc>
              <w:tc>
                <w:tcPr/>
                <w:p>
                  <w:pPr>
                    <w:pStyle w:val="Compact"/>
                    <w:jc w:val="left"/>
                    <w:jc w:val="center"/>
                  </w:pPr>
                  <w:r>
                    <w:t xml:space="preserve">Weaknesses</w:t>
                  </w:r>
                </w:p>
              </w:tc>
            </w:tr>
            <w:tr>
              <w:tc>
                <w:tcPr/>
                <w:p>
                  <w:pPr>
                    <w:pStyle w:val="Compact"/>
                    <w:jc w:val="left"/>
                    <w:jc w:val="center"/>
                  </w:pPr>
                  <w:r>
                    <w:t xml:space="preserve">UN CBD Indicators</w:t>
                  </w:r>
                </w:p>
              </w:tc>
              <w:tc>
                <w:tcPr/>
                <w:p>
                  <w:pPr>
                    <w:pStyle w:val="Compact"/>
                    <w:jc w:val="left"/>
                    <w:jc w:val="center"/>
                  </w:pPr>
                  <w:r>
                    <w:t xml:space="preserve">Measures and monitors biodiversity</w:t>
                  </w:r>
                </w:p>
              </w:tc>
              <w:tc>
                <w:tcPr/>
                <w:p>
                  <w:pPr>
                    <w:pStyle w:val="Compact"/>
                    <w:jc w:val="left"/>
                    <w:jc w:val="center"/>
                  </w:pPr>
                  <w:r>
                    <w:t xml:space="preserve">Species populations, habitat extent, ecosystem health</w:t>
                  </w:r>
                </w:p>
              </w:tc>
              <w:tc>
                <w:tcPr/>
                <w:p>
                  <w:pPr>
                    <w:pStyle w:val="Compact"/>
                    <w:jc w:val="left"/>
                    <w:jc w:val="center"/>
                  </w:pPr>
                  <w:r>
                    <w:t xml:space="preserve">High; used globally for biodiversity targets</w:t>
                  </w:r>
                </w:p>
              </w:tc>
              <w:tc>
                <w:tcPr/>
                <w:p>
                  <w:pPr>
                    <w:pStyle w:val="Compact"/>
                    <w:jc w:val="left"/>
                    <w:jc w:val="center"/>
                  </w:pPr>
                  <w:r>
                    <w:t xml:space="preserve">Provides broad biodiversity indicators</w:t>
                  </w:r>
                </w:p>
              </w:tc>
              <w:tc>
                <w:tcPr/>
                <w:p>
                  <w:pPr>
                    <w:pStyle w:val="Compact"/>
                    <w:jc w:val="left"/>
                    <w:jc w:val="center"/>
                  </w:pPr>
                  <w:r>
                    <w:t xml:space="preserve">May lack specificity for detailed ecosystem health assessments</w:t>
                  </w:r>
                </w:p>
              </w:tc>
            </w:tr>
            <w:tr>
              <w:tc>
                <w:tcPr/>
                <w:p>
                  <w:pPr>
                    <w:pStyle w:val="Compact"/>
                    <w:jc w:val="left"/>
                    <w:jc w:val="center"/>
                  </w:pPr>
                  <w:r>
                    <w:t xml:space="preserve">IUCN Red List of Ecosystems</w:t>
                  </w:r>
                </w:p>
              </w:tc>
              <w:tc>
                <w:tcPr/>
                <w:p>
                  <w:pPr>
                    <w:pStyle w:val="Compact"/>
                    <w:jc w:val="left"/>
                    <w:jc w:val="center"/>
                  </w:pPr>
                  <w:r>
                    <w:t xml:space="preserve">Assesses conservation status of ecosystems</w:t>
                  </w:r>
                </w:p>
              </w:tc>
              <w:tc>
                <w:tcPr/>
                <w:p>
                  <w:pPr>
                    <w:pStyle w:val="Compact"/>
                    <w:jc w:val="left"/>
                    <w:jc w:val="center"/>
                  </w:pPr>
                  <w:r>
                    <w:t xml:space="preserve">Risk of ecosystem collapse</w:t>
                  </w:r>
                </w:p>
              </w:tc>
              <w:tc>
                <w:tcPr/>
                <w:p>
                  <w:pPr>
                    <w:pStyle w:val="Compact"/>
                    <w:jc w:val="left"/>
                    <w:jc w:val="center"/>
                  </w:pPr>
                  <w:r>
                    <w:t xml:space="preserve">High; recognized globally</w:t>
                  </w:r>
                </w:p>
              </w:tc>
              <w:tc>
                <w:tcPr/>
                <w:p>
                  <w:pPr>
                    <w:pStyle w:val="Compact"/>
                    <w:jc w:val="left"/>
                    <w:jc w:val="center"/>
                  </w:pPr>
                  <w:r>
                    <w:t xml:space="preserve">Standardized risk assessment for ecosystems</w:t>
                  </w:r>
                </w:p>
              </w:tc>
              <w:tc>
                <w:tcPr/>
                <w:p>
                  <w:pPr>
                    <w:pStyle w:val="Compact"/>
                    <w:jc w:val="left"/>
                    <w:jc w:val="center"/>
                  </w:pPr>
                  <w:r>
                    <w:t xml:space="preserve">Primarily focused on risk, not comprehensive health metrics</w:t>
                  </w:r>
                </w:p>
              </w:tc>
            </w:tr>
            <w:tr>
              <w:tc>
                <w:tcPr/>
                <w:p>
                  <w:pPr>
                    <w:pStyle w:val="Compact"/>
                    <w:jc w:val="left"/>
                    <w:jc w:val="center"/>
                  </w:pPr>
                  <w:r>
                    <w:t xml:space="preserve">Living Planet Index (LPI)</w:t>
                  </w:r>
                </w:p>
              </w:tc>
              <w:tc>
                <w:tcPr/>
                <w:p>
                  <w:pPr>
                    <w:pStyle w:val="Compact"/>
                    <w:jc w:val="left"/>
                    <w:jc w:val="center"/>
                  </w:pPr>
                  <w:r>
                    <w:t xml:space="preserve">Tracks changes in global vertebrate species populations</w:t>
                  </w:r>
                </w:p>
              </w:tc>
              <w:tc>
                <w:tcPr/>
                <w:p>
                  <w:pPr>
                    <w:pStyle w:val="Compact"/>
                    <w:jc w:val="left"/>
                    <w:jc w:val="center"/>
                  </w:pPr>
                  <w:r>
                    <w:t xml:space="preserve">Population trends of vertebrate species</w:t>
                  </w:r>
                </w:p>
              </w:tc>
              <w:tc>
                <w:tcPr/>
                <w:p>
                  <w:pPr>
                    <w:pStyle w:val="Compact"/>
                    <w:jc w:val="left"/>
                    <w:jc w:val="center"/>
                  </w:pPr>
                  <w:r>
                    <w:t xml:space="preserve">High; widely used by conservation organizations</w:t>
                  </w:r>
                </w:p>
              </w:tc>
              <w:tc>
                <w:tcPr/>
                <w:p>
                  <w:pPr>
                    <w:pStyle w:val="Compact"/>
                    <w:jc w:val="left"/>
                    <w:jc w:val="center"/>
                  </w:pPr>
                  <w:r>
                    <w:t xml:space="preserve">Provides trends in biodiversity</w:t>
                  </w:r>
                </w:p>
              </w:tc>
              <w:tc>
                <w:tcPr/>
                <w:p>
                  <w:pPr>
                    <w:pStyle w:val="Compact"/>
                    <w:jc w:val="left"/>
                    <w:jc w:val="center"/>
                  </w:pPr>
                  <w:r>
                    <w:t xml:space="preserve">Limited to vertebrate species, not all biodiversity</w:t>
                  </w:r>
                </w:p>
              </w:tc>
            </w:tr>
            <w:tr>
              <w:tc>
                <w:tcPr/>
                <w:p>
                  <w:pPr>
                    <w:pStyle w:val="Compact"/>
                    <w:jc w:val="left"/>
                    <w:jc w:val="center"/>
                  </w:pPr>
                  <w:r>
                    <w:t xml:space="preserve">Natural Capital Protocol</w:t>
                  </w:r>
                </w:p>
              </w:tc>
              <w:tc>
                <w:tcPr/>
                <w:p>
                  <w:pPr>
                    <w:pStyle w:val="Compact"/>
                    <w:jc w:val="left"/>
                    <w:jc w:val="center"/>
                  </w:pPr>
                  <w:r>
                    <w:t xml:space="preserve">Identifies, measures, and values natural capital impacts</w:t>
                  </w:r>
                </w:p>
              </w:tc>
              <w:tc>
                <w:tcPr/>
                <w:p>
                  <w:pPr>
                    <w:pStyle w:val="Compact"/>
                    <w:jc w:val="left"/>
                    <w:jc w:val="center"/>
                  </w:pPr>
                  <w:r>
                    <w:t xml:space="preserve">Ecosystems, biodiversity, ecosystem services</w:t>
                  </w:r>
                </w:p>
              </w:tc>
              <w:tc>
                <w:tcPr/>
                <w:p>
                  <w:pPr>
                    <w:pStyle w:val="Compact"/>
                    <w:jc w:val="left"/>
                    <w:jc w:val="center"/>
                  </w:pPr>
                  <w:r>
                    <w:t xml:space="preserve">Widely accepted in corporate sector</w:t>
                  </w:r>
                </w:p>
              </w:tc>
              <w:tc>
                <w:tcPr/>
                <w:p>
                  <w:pPr>
                    <w:pStyle w:val="Compact"/>
                    <w:jc w:val="left"/>
                    <w:jc w:val="center"/>
                  </w:pPr>
                  <w:r>
                    <w:t xml:space="preserve">Comprehensive business-oriented impact assessment</w:t>
                  </w:r>
                </w:p>
              </w:tc>
              <w:tc>
                <w:tcPr/>
                <w:p>
                  <w:pPr>
                    <w:pStyle w:val="Compact"/>
                    <w:jc w:val="left"/>
                    <w:jc w:val="center"/>
                  </w:pPr>
                  <w:r>
                    <w:t xml:space="preserve">May lack detailed ecological metrics</w:t>
                  </w:r>
                </w:p>
              </w:tc>
            </w:tr>
            <w:tr>
              <w:tc>
                <w:tcPr/>
                <w:p>
                  <w:pPr>
                    <w:pStyle w:val="Compact"/>
                    <w:jc w:val="left"/>
                    <w:jc w:val="center"/>
                  </w:pPr>
                  <w:r>
                    <w:t xml:space="preserve">Ecosystem Services Framework (ESF)</w:t>
                  </w:r>
                </w:p>
              </w:tc>
              <w:tc>
                <w:tcPr/>
                <w:p>
                  <w:pPr>
                    <w:pStyle w:val="Compact"/>
                    <w:jc w:val="left"/>
                    <w:jc w:val="center"/>
                  </w:pPr>
                  <w:r>
                    <w:t xml:space="preserve">Assesses and values ecosystem services</w:t>
                  </w:r>
                </w:p>
              </w:tc>
              <w:tc>
                <w:tcPr/>
                <w:p>
                  <w:pPr>
                    <w:pStyle w:val="Compact"/>
                    <w:jc w:val="left"/>
                    <w:jc w:val="center"/>
                  </w:pPr>
                  <w:r>
                    <w:t xml:space="preserve">Provisioning, regulating, cultural, supporting services</w:t>
                  </w:r>
                </w:p>
              </w:tc>
              <w:tc>
                <w:tcPr/>
                <w:p>
                  <w:pPr>
                    <w:pStyle w:val="Compact"/>
                    <w:jc w:val="left"/>
                    <w:jc w:val="center"/>
                  </w:pPr>
                  <w:r>
                    <w:t xml:space="preserve">Gaining acceptance in policy-making</w:t>
                  </w:r>
                </w:p>
              </w:tc>
              <w:tc>
                <w:tcPr/>
                <w:p>
                  <w:pPr>
                    <w:pStyle w:val="Compact"/>
                    <w:jc w:val="left"/>
                    <w:jc w:val="center"/>
                  </w:pPr>
                  <w:r>
                    <w:t xml:space="preserve">Integrates ecological and socio-economic aspects</w:t>
                  </w:r>
                </w:p>
              </w:tc>
              <w:tc>
                <w:tcPr/>
                <w:p>
                  <w:pPr>
                    <w:pStyle w:val="Compact"/>
                    <w:jc w:val="left"/>
                    <w:jc w:val="center"/>
                  </w:pPr>
                  <w:r>
                    <w:t xml:space="preserve">Implementation can be complex and subjective</w:t>
                  </w:r>
                </w:p>
              </w:tc>
            </w:tr>
            <w:tr>
              <w:tc>
                <w:tcPr/>
                <w:p>
                  <w:pPr>
                    <w:pStyle w:val="Compact"/>
                    <w:jc w:val="left"/>
                    <w:jc w:val="center"/>
                  </w:pPr>
                  <w:r>
                    <w:t xml:space="preserve">Biodiversity Intactness Index (BII)</w:t>
                  </w:r>
                </w:p>
              </w:tc>
              <w:tc>
                <w:tcPr/>
                <w:p>
                  <w:pPr>
                    <w:pStyle w:val="Compact"/>
                    <w:jc w:val="left"/>
                    <w:jc w:val="center"/>
                  </w:pPr>
                  <w:r>
                    <w:t xml:space="preserve">Measures the intactness of biodiversity in a region</w:t>
                  </w:r>
                </w:p>
              </w:tc>
              <w:tc>
                <w:tcPr/>
                <w:p>
                  <w:pPr>
                    <w:pStyle w:val="Compact"/>
                    <w:jc w:val="left"/>
                    <w:jc w:val="center"/>
                  </w:pPr>
                  <w:r>
                    <w:t xml:space="preserve">Biodiversity at species level</w:t>
                  </w:r>
                </w:p>
              </w:tc>
              <w:tc>
                <w:tcPr/>
                <w:p>
                  <w:pPr>
                    <w:pStyle w:val="Compact"/>
                    <w:jc w:val="left"/>
                    <w:jc w:val="center"/>
                  </w:pPr>
                  <w:r>
                    <w:t xml:space="preserve">Growing in conservation research</w:t>
                  </w:r>
                </w:p>
              </w:tc>
              <w:tc>
                <w:tcPr/>
                <w:p>
                  <w:pPr>
                    <w:pStyle w:val="Compact"/>
                    <w:jc w:val="left"/>
                    <w:jc w:val="center"/>
                  </w:pPr>
                  <w:r>
                    <w:t xml:space="preserve">Effective for monitoring biodiversity changes</w:t>
                  </w:r>
                </w:p>
              </w:tc>
              <w:tc>
                <w:tcPr/>
                <w:p>
                  <w:pPr>
                    <w:pStyle w:val="Compact"/>
                    <w:jc w:val="left"/>
                    <w:jc w:val="center"/>
                  </w:pPr>
                  <w:r>
                    <w:t xml:space="preserve">Focused primarily on biodiversiy, not broader ecological health</w:t>
                  </w:r>
                </w:p>
              </w:tc>
            </w:tr>
            <w:tr>
              <w:tc>
                <w:tcPr/>
                <w:p>
                  <w:pPr>
                    <w:pStyle w:val="Compact"/>
                    <w:jc w:val="left"/>
                    <w:jc w:val="center"/>
                  </w:pPr>
                  <w:r>
                    <w:t xml:space="preserve">Accounting for Nature</w:t>
                  </w:r>
                </w:p>
              </w:tc>
              <w:tc>
                <w:tcPr/>
                <w:p>
                  <w:pPr>
                    <w:pStyle w:val="Compact"/>
                    <w:jc w:val="left"/>
                    <w:jc w:val="center"/>
                  </w:pPr>
                  <w:r>
                    <w:t xml:space="preserve">Measures and reports on the condition of environmental assets</w:t>
                  </w:r>
                </w:p>
              </w:tc>
              <w:tc>
                <w:tcPr/>
                <w:p>
                  <w:pPr>
                    <w:pStyle w:val="Compact"/>
                    <w:jc w:val="left"/>
                    <w:jc w:val="center"/>
                  </w:pPr>
                  <w:r>
                    <w:t xml:space="preserve">Ecological health of natural resources (soils, vegetation, fauna)</w:t>
                  </w:r>
                </w:p>
              </w:tc>
              <w:tc>
                <w:tcPr/>
                <w:p>
                  <w:pPr>
                    <w:pStyle w:val="Compact"/>
                    <w:jc w:val="left"/>
                    <w:jc w:val="center"/>
                  </w:pPr>
                  <w:r>
                    <w:t xml:space="preserve">Emerging; primarily in Australia, expanding globally</w:t>
                  </w:r>
                </w:p>
              </w:tc>
              <w:tc>
                <w:tcPr/>
                <w:p>
                  <w:pPr>
                    <w:pStyle w:val="Compact"/>
                    <w:jc w:val="left"/>
                    <w:jc w:val="center"/>
                  </w:pPr>
                  <w:r>
                    <w:t xml:space="preserve">Standardised ecological health metrics; comprehensive assessment</w:t>
                  </w:r>
                </w:p>
              </w:tc>
              <w:tc>
                <w:tcPr/>
                <w:p>
                  <w:pPr>
                    <w:pStyle w:val="Compact"/>
                    <w:jc w:val="left"/>
                    <w:jc w:val="center"/>
                  </w:pPr>
                  <w:r>
                    <w:t xml:space="preserve">Limited broader application until further refinement globally</w:t>
                  </w:r>
                </w:p>
              </w:tc>
            </w:tr>
          </w:tbl>
          <w:bookmarkEnd w:id="62"/>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63"/>
    <w:bookmarkStart w:id="6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4" w:name="tbl-impact"/>
          <w:p>
            <w:pPr>
              <w:jc w:val="center"/>
            </w:pPr>
            <w:pPr>
              <w:jc w:val="start"/>
              <w:spacing w:before="200"/>
              <w:pStyle w:val="ImageCaption"/>
            </w:pPr>
            <w:r>
              <w:t xml:space="preserve">Table 4: Overview of Measurement and Verification Frameworks for Social Impact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Framework</w:t>
                  </w:r>
                </w:p>
              </w:tc>
              <w:tc>
                <w:tcPr/>
                <w:p>
                  <w:pPr>
                    <w:pStyle w:val="Compact"/>
                    <w:jc w:val="left"/>
                    <w:jc w:val="center"/>
                  </w:pPr>
                  <w:r>
                    <w:t xml:space="preserve">Focus</w:t>
                  </w:r>
                </w:p>
              </w:tc>
              <w:tc>
                <w:tcPr/>
                <w:p>
                  <w:pPr>
                    <w:pStyle w:val="Compact"/>
                    <w:jc w:val="left"/>
                    <w:jc w:val="center"/>
                  </w:pPr>
                  <w:r>
                    <w:t xml:space="preserve">Average</w:t>
                  </w:r>
                </w:p>
              </w:tc>
              <w:tc>
                <w:tcPr/>
                <w:p>
                  <w:pPr>
                    <w:pStyle w:val="Compact"/>
                    <w:jc w:val="left"/>
                    <w:jc w:val="center"/>
                  </w:pPr>
                  <w:r>
                    <w:t xml:space="preserve">MRV</w:t>
                  </w:r>
                </w:p>
              </w:tc>
              <w:tc>
                <w:tcPr/>
                <w:p>
                  <w:pPr>
                    <w:pStyle w:val="Compact"/>
                    <w:jc w:val="left"/>
                    <w:jc w:val="center"/>
                  </w:pPr>
                  <w:r>
                    <w:t xml:space="preserve">Overlap.Gaps</w:t>
                  </w:r>
                </w:p>
              </w:tc>
            </w:tr>
            <w:tr>
              <w:tc>
                <w:tcPr/>
                <w:p>
                  <w:pPr>
                    <w:pStyle w:val="Compact"/>
                    <w:jc w:val="left"/>
                    <w:jc w:val="center"/>
                  </w:pPr>
                  <w:r>
                    <w:t xml:space="preserve">IRIS+ by GIIN</w:t>
                  </w:r>
                </w:p>
              </w:tc>
              <w:tc>
                <w:tcPr/>
                <w:p>
                  <w:pPr>
                    <w:pStyle w:val="Compact"/>
                    <w:jc w:val="left"/>
                    <w:jc w:val="center"/>
                  </w:pPr>
                  <w:r>
                    <w:t xml:space="preserve">Provide a comprehensive catalog of social, environmental, and financial performance metrics. Global; diverse sectors such as education, healthcare, and economic development</w:t>
                  </w:r>
                </w:p>
              </w:tc>
              <w:tc>
                <w:tcPr/>
                <w:p>
                  <w:pPr>
                    <w:pStyle w:val="Compact"/>
                    <w:jc w:val="left"/>
                    <w:jc w:val="center"/>
                  </w:pPr>
                  <w:r>
                    <w:t xml:space="preserve">Standardised metrics, consistent data collection, self-assessment, third-party audits.</w:t>
                  </w:r>
                </w:p>
              </w:tc>
              <w:tc>
                <w:tcPr/>
                <w:p>
                  <w:pPr>
                    <w:pStyle w:val="Compact"/>
                    <w:jc w:val="left"/>
                    <w:jc w:val="center"/>
                  </w:pPr>
                  <w:r>
                    <w:t xml:space="preserve">Highly accepted globally among impact investors and financial institutions.</w:t>
                  </w:r>
                </w:p>
              </w:tc>
              <w:tc>
                <w:tcPr/>
                <w:p>
                  <w:pPr>
                    <w:pStyle w:val="Compact"/>
                    <w:jc w:val="left"/>
                    <w:jc w:val="center"/>
                  </w:pPr>
                  <w:r>
                    <w:t xml:space="preserve">Overlaps with other frameworks like IMP. Gaps in sector-specific metrics for niche areas.</w:t>
                  </w:r>
                </w:p>
              </w:tc>
            </w:tr>
            <w:tr>
              <w:tc>
                <w:tcPr/>
                <w:p>
                  <w:pPr>
                    <w:pStyle w:val="Compact"/>
                    <w:jc w:val="left"/>
                    <w:jc w:val="center"/>
                  </w:pPr>
                  <w:r>
                    <w:t xml:space="preserve">Social Performance Task Force (SPTF)</w:t>
                  </w:r>
                </w:p>
              </w:tc>
              <w:tc>
                <w:tcPr/>
                <w:p>
                  <w:pPr>
                    <w:pStyle w:val="Compact"/>
                    <w:jc w:val="left"/>
                    <w:jc w:val="center"/>
                  </w:pPr>
                  <w:r>
                    <w:t xml:space="preserve">Provides standards and guidelines for assessing social performance in microfinance and inclusive finance sectors. Global; specific to microfinance and inclusive finance sectors</w:t>
                  </w:r>
                </w:p>
              </w:tc>
              <w:tc>
                <w:tcPr/>
                <w:p>
                  <w:pPr>
                    <w:pStyle w:val="Compact"/>
                    <w:jc w:val="left"/>
                    <w:jc w:val="center"/>
                  </w:pPr>
                  <w:r>
                    <w:t xml:space="preserve">Indicators for outreach, client protection, social responsibility, self-reporting, external audits.</w:t>
                  </w:r>
                </w:p>
              </w:tc>
              <w:tc>
                <w:tcPr/>
                <w:p>
                  <w:pPr>
                    <w:pStyle w:val="Compact"/>
                    <w:jc w:val="left"/>
                    <w:jc w:val="center"/>
                  </w:pPr>
                  <w:r>
                    <w:t xml:space="preserve">Widely accepted in the microfinance sector.</w:t>
                  </w:r>
                </w:p>
              </w:tc>
              <w:tc>
                <w:tcPr/>
                <w:p>
                  <w:pPr>
                    <w:pStyle w:val="Compact"/>
                    <w:jc w:val="left"/>
                    <w:jc w:val="center"/>
                  </w:pPr>
                  <w:r>
                    <w:t xml:space="preserve">Overlaps with sector-specific stndards like the Universal Standards for Social Performance Management. Gaps in the broader financial inclusion metrics.</w:t>
                  </w:r>
                </w:p>
              </w:tc>
            </w:tr>
            <w:tr>
              <w:tc>
                <w:tcPr/>
                <w:p>
                  <w:pPr>
                    <w:pStyle w:val="Compact"/>
                    <w:jc w:val="left"/>
                    <w:jc w:val="center"/>
                  </w:pPr>
                  <w:r>
                    <w:t xml:space="preserve">Impact Management Project (IMP)</w:t>
                  </w:r>
                </w:p>
              </w:tc>
              <w:tc>
                <w:tcPr/>
                <w:p>
                  <w:pPr>
                    <w:pStyle w:val="Compact"/>
                    <w:jc w:val="left"/>
                    <w:jc w:val="center"/>
                  </w:pPr>
                  <w:r>
                    <w:t xml:space="preserve">Provides a consensus on how to measure, manage, and report impacts on people and the planet. Global; comprehensive coverage across multiple sectors and impact themes.</w:t>
                  </w:r>
                </w:p>
              </w:tc>
              <w:tc>
                <w:tcPr/>
                <w:p>
                  <w:pPr>
                    <w:pStyle w:val="Compact"/>
                    <w:jc w:val="left"/>
                    <w:jc w:val="center"/>
                  </w:pPr>
                  <w:r>
                    <w:t xml:space="preserve">Five dimensions of impact: what, who, how much, contribution, risk; self-assessment, peer reviews.</w:t>
                  </w:r>
                </w:p>
              </w:tc>
              <w:tc>
                <w:tcPr/>
                <w:p>
                  <w:pPr>
                    <w:pStyle w:val="Compact"/>
                    <w:jc w:val="left"/>
                    <w:jc w:val="center"/>
                  </w:pPr>
                  <w:r>
                    <w:t xml:space="preserve">Highly accepted among impact investors and financial institutions.</w:t>
                  </w:r>
                </w:p>
              </w:tc>
              <w:tc>
                <w:tcPr/>
                <w:p>
                  <w:pPr>
                    <w:pStyle w:val="Compact"/>
                    <w:jc w:val="left"/>
                    <w:jc w:val="center"/>
                  </w:pPr>
                  <w:r>
                    <w:t xml:space="preserve">Overlaps with IRIS+ and other impact measurement frameworks. Gaps in detailed sector-specific guidelines.</w:t>
                  </w:r>
                </w:p>
              </w:tc>
            </w:tr>
            <w:tr>
              <w:tc>
                <w:tcPr/>
                <w:p>
                  <w:pPr>
                    <w:pStyle w:val="Compact"/>
                    <w:jc w:val="left"/>
                    <w:jc w:val="center"/>
                  </w:pPr>
                  <w:r>
                    <w:t xml:space="preserve">B Impact Assessment (BIA) by B Lab</w:t>
                  </w:r>
                </w:p>
              </w:tc>
              <w:tc>
                <w:tcPr/>
                <w:p>
                  <w:pPr>
                    <w:pStyle w:val="Compact"/>
                    <w:jc w:val="left"/>
                    <w:jc w:val="center"/>
                  </w:pPr>
                  <w:r>
                    <w:t xml:space="preserve">Assess social and environmental performance of companies, focusing on governance, workers, community, environment, and customers. Global; socially responsible business across sectors.</w:t>
                  </w:r>
                </w:p>
              </w:tc>
              <w:tc>
                <w:tcPr/>
                <w:p>
                  <w:pPr>
                    <w:pStyle w:val="Compact"/>
                    <w:jc w:val="left"/>
                    <w:jc w:val="center"/>
                  </w:pPr>
                  <w:r>
                    <w:t xml:space="preserve">Structured questionnaire, comprehensive assessment, third-party audits for B Corp certification.</w:t>
                  </w:r>
                </w:p>
              </w:tc>
              <w:tc>
                <w:tcPr/>
                <w:p>
                  <w:pPr>
                    <w:pStyle w:val="Compact"/>
                    <w:jc w:val="left"/>
                    <w:jc w:val="center"/>
                  </w:pPr>
                  <w:r>
                    <w:t xml:space="preserve">High acceptance among socially responsible businesses and investors.</w:t>
                  </w:r>
                </w:p>
              </w:tc>
              <w:tc>
                <w:tcPr/>
                <w:p>
                  <w:pPr>
                    <w:pStyle w:val="Compact"/>
                    <w:jc w:val="left"/>
                    <w:jc w:val="center"/>
                  </w:pPr>
                  <w:r>
                    <w:t xml:space="preserve">Overlaps with ESG frameworks. Gaps include the depth of impact measurement in specific sectors.</w:t>
                  </w:r>
                </w:p>
              </w:tc>
            </w:tr>
            <w:tr>
              <w:tc>
                <w:tcPr/>
                <w:p>
                  <w:pPr>
                    <w:pStyle w:val="Compact"/>
                    <w:jc w:val="left"/>
                    <w:jc w:val="center"/>
                  </w:pPr>
                  <w:r>
                    <w:t xml:space="preserve">Social Return on Investment (SROI)</w:t>
                  </w:r>
                </w:p>
              </w:tc>
              <w:tc>
                <w:tcPr/>
                <w:p>
                  <w:pPr>
                    <w:pStyle w:val="Compact"/>
                    <w:jc w:val="left"/>
                    <w:jc w:val="center"/>
                  </w:pPr>
                  <w:r>
                    <w:t xml:space="preserve">Measures social value created by translating social outcomes into monetary values. Global; applicable to community development, education, healthcare, and more.</w:t>
                  </w:r>
                </w:p>
              </w:tc>
              <w:tc>
                <w:tcPr/>
                <w:p>
                  <w:pPr>
                    <w:pStyle w:val="Compact"/>
                    <w:jc w:val="left"/>
                    <w:jc w:val="center"/>
                  </w:pPr>
                  <w:r>
                    <w:t xml:space="preserve">Detailed data on inputs, outputs, outcomes, financial proxies, stakeholder engagement, third-party validation.</w:t>
                  </w:r>
                </w:p>
              </w:tc>
              <w:tc>
                <w:tcPr/>
                <w:p>
                  <w:pPr>
                    <w:pStyle w:val="Compact"/>
                    <w:jc w:val="left"/>
                    <w:jc w:val="center"/>
                  </w:pPr>
                  <w:r>
                    <w:t xml:space="preserve">Growing acceptance, particularly in the non-profit and public sectors.</w:t>
                  </w:r>
                </w:p>
              </w:tc>
              <w:tc>
                <w:tcPr/>
                <w:p>
                  <w:pPr>
                    <w:pStyle w:val="Compact"/>
                    <w:jc w:val="left"/>
                    <w:jc w:val="center"/>
                  </w:pPr>
                  <w:r>
                    <w:t xml:space="preserve">Overlaps with cost-benefit analysis approaches. Gaps include challenges in the assigning monetary values to all social outcomes.</w:t>
                  </w:r>
                </w:p>
              </w:tc>
            </w:tr>
            <w:tr>
              <w:tc>
                <w:tcPr/>
                <w:p>
                  <w:pPr>
                    <w:pStyle w:val="Compact"/>
                    <w:jc w:val="left"/>
                    <w:jc w:val="center"/>
                  </w:pPr>
                  <w:r>
                    <w:t xml:space="preserve">FC’s Operating Principles for Impact Management</w:t>
                  </w:r>
                </w:p>
              </w:tc>
              <w:tc>
                <w:tcPr/>
                <w:p>
                  <w:pPr>
                    <w:pStyle w:val="Compact"/>
                    <w:jc w:val="left"/>
                    <w:jc w:val="center"/>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jc w:val="center"/>
                  </w:pPr>
                  <w:r>
                    <w:t xml:space="preserve">Annual disclosures, independent verification, payment of a registration fee.</w:t>
                  </w:r>
                </w:p>
              </w:tc>
              <w:tc>
                <w:tcPr/>
                <w:p>
                  <w:pPr>
                    <w:pStyle w:val="Compact"/>
                    <w:jc w:val="left"/>
                    <w:jc w:val="center"/>
                  </w:pPr>
                  <w:r>
                    <w:t xml:space="preserve">High acceptance among banks, DFIs, government-backed investment corporations, MDBs, non-profits, asset managers, and investment funds.</w:t>
                  </w:r>
                </w:p>
              </w:tc>
              <w:tc>
                <w:tcPr/>
                <w:p>
                  <w:pPr>
                    <w:pStyle w:val="Compact"/>
                    <w:jc w:val="left"/>
                    <w:jc w:val="center"/>
                  </w:pPr>
                  <w:r>
                    <w:t xml:space="preserve">Overlaps with other impact frameworks like GIIN and IMP. Efforts are ongoing to harmonize these principles with other frameworks.</w:t>
                  </w:r>
                </w:p>
              </w:tc>
            </w:tr>
            <w:tr>
              <w:tc>
                <w:tcPr/>
                <w:p>
                  <w:pPr>
                    <w:pStyle w:val="Compact"/>
                    <w:jc w:val="left"/>
                    <w:jc w:val="center"/>
                  </w:pPr>
                  <w:r>
                    <w:t xml:space="preserve">UNEP-FI</w:t>
                  </w:r>
                </w:p>
              </w:tc>
              <w:tc>
                <w:tcPr/>
                <w:p>
                  <w:pPr>
                    <w:pStyle w:val="Compact"/>
                    <w:jc w:val="left"/>
                    <w:jc w:val="center"/>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jc w:val="center"/>
                  </w:pPr>
                  <w:r>
                    <w:t xml:space="preserve">Tools use structured assessment and scoring systems based on predefined criteria and KPIs.</w:t>
                  </w:r>
                </w:p>
              </w:tc>
              <w:tc>
                <w:tcPr/>
                <w:p>
                  <w:pPr>
                    <w:pStyle w:val="Compact"/>
                    <w:jc w:val="left"/>
                    <w:jc w:val="center"/>
                  </w:pPr>
                  <w:r>
                    <w:t xml:space="preserve">High acceptance in the financial sector, especially among banks and insurers.</w:t>
                  </w:r>
                </w:p>
              </w:tc>
              <w:tc>
                <w:tcPr/>
                <w:p>
                  <w:pPr>
                    <w:pStyle w:val="Compact"/>
                    <w:jc w:val="left"/>
                    <w:jc w:val="center"/>
                  </w:pPr>
                  <w:r>
                    <w:t xml:space="preserve">Overlaps with SDG-related frameworks and industry-specific standards. Gaps in comprehensive sector-specific metrics for niche areas.</w:t>
                  </w:r>
                </w:p>
              </w:tc>
            </w:tr>
            <w:tr>
              <w:tc>
                <w:tcPr/>
                <w:p>
                  <w:pPr>
                    <w:pStyle w:val="Compact"/>
                    <w:jc w:val="left"/>
                    <w:jc w:val="center"/>
                  </w:pPr>
                  <w:r>
                    <w:t xml:space="preserve">DCED Standard</w:t>
                  </w:r>
                </w:p>
              </w:tc>
              <w:tc>
                <w:tcPr/>
                <w:p>
                  <w:pPr>
                    <w:pStyle w:val="Compact"/>
                    <w:jc w:val="left"/>
                    <w:jc w:val="center"/>
                  </w:pPr>
                  <w:r>
                    <w:t xml:space="preserve">Provides a tool for monitoring and evaluation of development and programmatic projects. Focuses on poverty alleviation through private sector development.</w:t>
                  </w:r>
                </w:p>
              </w:tc>
              <w:tc>
                <w:tcPr/>
                <w:p>
                  <w:pPr>
                    <w:pStyle w:val="Compact"/>
                    <w:jc w:val="left"/>
                    <w:jc w:val="center"/>
                  </w:pPr>
                  <w:r>
                    <w:t xml:space="preserve">Structured intervention guide with intervention summary, results chain, reulsts measurement plan, and measurements and calculations.</w:t>
                  </w:r>
                </w:p>
              </w:tc>
              <w:tc>
                <w:tcPr/>
                <w:p>
                  <w:pPr>
                    <w:pStyle w:val="Compact"/>
                    <w:jc w:val="left"/>
                    <w:jc w:val="center"/>
                  </w:pPr>
                  <w:r>
                    <w:t xml:space="preserve">Growing acceptance among government, philanthropic, and multilateral agencies working in the private sector development.</w:t>
                  </w:r>
                </w:p>
              </w:tc>
              <w:tc>
                <w:tcPr/>
                <w:p>
                  <w:pPr>
                    <w:pStyle w:val="Compact"/>
                    <w:jc w:val="left"/>
                    <w:jc w:val="center"/>
                  </w:pPr>
                  <w:r>
                    <w:t xml:space="preserve">Overlaps with other devleopment-focused frameworks. Gaps in tailored metrics for specific impact investing scenarios.</w:t>
                  </w:r>
                </w:p>
              </w:tc>
            </w:tr>
            <w:tr>
              <w:tc>
                <w:tcPr/>
                <w:p>
                  <w:pPr>
                    <w:pStyle w:val="Compact"/>
                    <w:jc w:val="left"/>
                    <w:jc w:val="center"/>
                  </w:pPr>
                  <w:r>
                    <w:t xml:space="preserve">UNEP-FI Corporate Impact Analysis Tool (CIAT)</w:t>
                  </w:r>
                </w:p>
              </w:tc>
              <w:tc>
                <w:tcPr/>
                <w:p>
                  <w:pPr>
                    <w:pStyle w:val="Compact"/>
                    <w:jc w:val="left"/>
                    <w:jc w:val="center"/>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jc w:val="center"/>
                  </w:pPr>
                  <w:r>
                    <w:t xml:space="preserve">Structured Excel spreadsheet with various tabs explaining methodology and use, scoring system with pre-determined and user-picked weights and guidelines.</w:t>
                  </w:r>
                </w:p>
              </w:tc>
              <w:tc>
                <w:tcPr/>
                <w:p>
                  <w:pPr>
                    <w:pStyle w:val="Compact"/>
                    <w:jc w:val="left"/>
                    <w:jc w:val="center"/>
                  </w:pPr>
                  <w:r>
                    <w:t xml:space="preserve">Growing acceptance among large corporations and financial institutions.</w:t>
                  </w:r>
                </w:p>
              </w:tc>
              <w:tc>
                <w:tcPr/>
                <w:p>
                  <w:pPr>
                    <w:pStyle w:val="Compact"/>
                    <w:jc w:val="left"/>
                    <w:jc w:val="center"/>
                  </w:pPr>
                  <w:r>
                    <w:t xml:space="preserve">Overlaps with other corporate impact assessment tools. Gaps in tailored metrics for smaller enterprises and specific sectors.</w:t>
                  </w:r>
                </w:p>
              </w:tc>
            </w:tr>
            <w:tr>
              <w:tc>
                <w:tcPr/>
                <w:p>
                  <w:pPr>
                    <w:pStyle w:val="Compact"/>
                    <w:jc w:val="left"/>
                    <w:jc w:val="center"/>
                  </w:pPr>
                  <w:r>
                    <w:t xml:space="preserve">UNEP-FI Portfolio Impact Analysis Tool (PIAT)</w:t>
                  </w:r>
                </w:p>
              </w:tc>
              <w:tc>
                <w:tcPr/>
                <w:p>
                  <w:pPr>
                    <w:pStyle w:val="Compact"/>
                    <w:jc w:val="left"/>
                    <w:jc w:val="center"/>
                  </w:pPr>
                  <w:r>
                    <w:t xml:space="preserve">Targets banks, assesses the impact of a given bank’s portfolio, helps banks report and shape their portfolios for positive impact over time. Uses the 22 areas of the Impact Radar.</w:t>
                  </w:r>
                </w:p>
              </w:tc>
              <w:tc>
                <w:tcPr/>
                <w:p>
                  <w:pPr>
                    <w:pStyle w:val="Compact"/>
                    <w:jc w:val="left"/>
                    <w:jc w:val="center"/>
                  </w:pPr>
                  <w:r>
                    <w:t xml:space="preserve">Input spreadsheets for Bank Cartography and Country Needs Scores, coupled with predefined impact maps and user inputs to assess positive and negative impacts</w:t>
                  </w:r>
                </w:p>
              </w:tc>
              <w:tc>
                <w:tcPr/>
                <w:p>
                  <w:pPr>
                    <w:pStyle w:val="Compact"/>
                    <w:jc w:val="left"/>
                    <w:jc w:val="center"/>
                  </w:pPr>
                  <w:r>
                    <w:t xml:space="preserve">High acceptance among banks, particularly those committed to the PRB framework.</w:t>
                  </w:r>
                </w:p>
              </w:tc>
              <w:tc>
                <w:tcPr/>
                <w:p>
                  <w:pPr>
                    <w:pStyle w:val="Compact"/>
                    <w:jc w:val="left"/>
                    <w:jc w:val="center"/>
                  </w:pPr>
                  <w:r>
                    <w:t xml:space="preserve">Overlaps with other banking-specific impact assessment tools. Gaps in comprehensive sector-specific metrics for non-banking financial institutions.</w:t>
                  </w:r>
                </w:p>
              </w:tc>
            </w:tr>
          </w:tbl>
          <w:bookmarkEnd w:id="6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5"/>
    <w:bookmarkEnd w:id="66"/>
    <w:bookmarkStart w:id="7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6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67"/>
    <w:bookmarkStart w:id="6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8"/>
    <w:bookmarkStart w:id="6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9"/>
    <w:bookmarkStart w:id="7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70"/>
    <w:bookmarkEnd w:id="71"/>
    <w:bookmarkStart w:id="7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72"/>
    <w:bookmarkStart w:id="144"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3" w:name="tbl-ESGS"/>
          <w:p>
            <w:pPr>
              <w:jc w:val="center"/>
            </w:pPr>
            <w:pPr>
              <w:jc w:val="start"/>
              <w:spacing w:before="200"/>
              <w:pStyle w:val="ImageCaption"/>
            </w:pPr>
            <w:r>
              <w:t xml:space="preserve">Table 5: Overview of ESG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Negative Screening</w:t>
                  </w:r>
                </w:p>
              </w:tc>
              <w:tc>
                <w:tcPr/>
                <w:p>
                  <w:pPr>
                    <w:pStyle w:val="Compact"/>
                    <w:jc w:val="left"/>
                    <w:jc w:val="center"/>
                  </w:pPr>
                  <w:r>
                    <w:t xml:space="preserve">Avoid the worst performers</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May exclude potentially profitable investments</w:t>
                  </w:r>
                </w:p>
              </w:tc>
              <w:tc>
                <w:tcPr/>
                <w:p>
                  <w:pPr>
                    <w:pStyle w:val="Compact"/>
                    <w:jc w:val="left"/>
                    <w:jc w:val="center"/>
                  </w:pPr>
                  <w:r>
                    <w:t xml:space="preserve">Simple to implement, reduces reputational risk</w:t>
                  </w:r>
                </w:p>
              </w:tc>
            </w:tr>
            <w:tr>
              <w:tc>
                <w:tcPr/>
                <w:p>
                  <w:pPr>
                    <w:pStyle w:val="Compact"/>
                    <w:jc w:val="left"/>
                    <w:jc w:val="center"/>
                  </w:pPr>
                  <w:r>
                    <w:t xml:space="preserve">Norms-based Screening</w:t>
                  </w:r>
                </w:p>
              </w:tc>
              <w:tc>
                <w:tcPr/>
                <w:p>
                  <w:pPr>
                    <w:pStyle w:val="Compact"/>
                    <w:jc w:val="left"/>
                    <w:jc w:val="center"/>
                  </w:pPr>
                  <w:r>
                    <w:t xml:space="preserve">Screening based on international norms and standards</w:t>
                  </w:r>
                </w:p>
              </w:tc>
              <w:tc>
                <w:tcPr/>
                <w:p>
                  <w:pPr>
                    <w:pStyle w:val="Compact"/>
                    <w:jc w:val="left"/>
                    <w:jc w:val="center"/>
                  </w:pPr>
                  <w:r>
                    <w:t xml:space="preserve">Global</w:t>
                  </w:r>
                </w:p>
              </w:tc>
              <w:tc>
                <w:tcPr/>
                <w:p>
                  <w:pPr>
                    <w:pStyle w:val="Compact"/>
                    <w:jc w:val="left"/>
                    <w:jc w:val="center"/>
                  </w:pPr>
                  <w:r>
                    <w:t xml:space="preserve">Growing acceptance, especially among institutional investors</w:t>
                  </w:r>
                </w:p>
              </w:tc>
              <w:tc>
                <w:tcPr/>
                <w:p>
                  <w:pPr>
                    <w:pStyle w:val="Compact"/>
                    <w:jc w:val="left"/>
                    <w:jc w:val="center"/>
                  </w:pPr>
                  <w:r>
                    <w:t xml:space="preserve">Can be subjective, may miss new emerging risks</w:t>
                  </w:r>
                </w:p>
              </w:tc>
              <w:tc>
                <w:tcPr/>
                <w:p>
                  <w:pPr>
                    <w:pStyle w:val="Compact"/>
                    <w:jc w:val="left"/>
                    <w:jc w:val="center"/>
                  </w:pPr>
                  <w:r>
                    <w:t xml:space="preserve">Aligns with international standards, enhances ethical alignment</w:t>
                  </w:r>
                </w:p>
              </w:tc>
            </w:tr>
            <w:tr>
              <w:tc>
                <w:tcPr/>
                <w:p>
                  <w:pPr>
                    <w:pStyle w:val="Compact"/>
                    <w:jc w:val="left"/>
                    <w:jc w:val="center"/>
                  </w:pPr>
                  <w:r>
                    <w:t xml:space="preserve">Best-in-Class Selection / Positive Screening</w:t>
                  </w:r>
                </w:p>
              </w:tc>
              <w:tc>
                <w:tcPr/>
                <w:p>
                  <w:pPr>
                    <w:pStyle w:val="Compact"/>
                    <w:jc w:val="left"/>
                    <w:jc w:val="center"/>
                  </w:pPr>
                  <w:r>
                    <w:t xml:space="preserve">Investing in companies with superior ESG performance within their sector</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Requires rigorous data and analysis, may lead to over-diversification</w:t>
                  </w:r>
                </w:p>
              </w:tc>
              <w:tc>
                <w:tcPr/>
                <w:p>
                  <w:pPr>
                    <w:pStyle w:val="Compact"/>
                    <w:jc w:val="left"/>
                    <w:jc w:val="center"/>
                  </w:pPr>
                  <w:r>
                    <w:t xml:space="preserve">Encourages industry leaders, promotes best practices</w:t>
                  </w:r>
                </w:p>
              </w:tc>
            </w:tr>
            <w:tr>
              <w:tc>
                <w:tcPr/>
                <w:p>
                  <w:pPr>
                    <w:pStyle w:val="Compact"/>
                    <w:jc w:val="left"/>
                    <w:jc w:val="center"/>
                  </w:pPr>
                  <w:r>
                    <w:t xml:space="preserve">ESG Integration</w:t>
                  </w:r>
                </w:p>
              </w:tc>
              <w:tc>
                <w:tcPr/>
                <w:p>
                  <w:pPr>
                    <w:pStyle w:val="Compact"/>
                    <w:jc w:val="left"/>
                    <w:jc w:val="center"/>
                  </w:pPr>
                  <w:r>
                    <w:t xml:space="preserve">Integrating ESG factors into financial analysis and investment decisions</w:t>
                  </w:r>
                </w:p>
              </w:tc>
              <w:tc>
                <w:tcPr/>
                <w:p>
                  <w:pPr>
                    <w:pStyle w:val="Compact"/>
                    <w:jc w:val="left"/>
                    <w:jc w:val="center"/>
                  </w:pPr>
                  <w:r>
                    <w:t xml:space="preserve">Global</w:t>
                  </w:r>
                </w:p>
              </w:tc>
              <w:tc>
                <w:tcPr/>
                <w:p>
                  <w:pPr>
                    <w:pStyle w:val="Compact"/>
                    <w:jc w:val="left"/>
                    <w:jc w:val="center"/>
                  </w:pPr>
                  <w:r>
                    <w:t xml:space="preserve">Highly accepted, becoming standard practice</w:t>
                  </w:r>
                </w:p>
              </w:tc>
              <w:tc>
                <w:tcPr/>
                <w:p>
                  <w:pPr>
                    <w:pStyle w:val="Compact"/>
                    <w:jc w:val="left"/>
                    <w:jc w:val="center"/>
                  </w:pPr>
                  <w:r>
                    <w:t xml:space="preserve">Requires comprehensive data integration</w:t>
                  </w:r>
                </w:p>
              </w:tc>
              <w:tc>
                <w:tcPr/>
                <w:p>
                  <w:pPr>
                    <w:pStyle w:val="Compact"/>
                    <w:jc w:val="left"/>
                    <w:jc w:val="center"/>
                  </w:pPr>
                  <w:r>
                    <w:t xml:space="preserve">Holistic approach, aligns with overall corporate strategy</w:t>
                  </w:r>
                </w:p>
              </w:tc>
            </w:tr>
            <w:tr>
              <w:tc>
                <w:tcPr/>
                <w:p>
                  <w:pPr>
                    <w:pStyle w:val="Compact"/>
                    <w:jc w:val="left"/>
                    <w:jc w:val="center"/>
                  </w:pPr>
                  <w:r>
                    <w:t xml:space="preserve">Proxy Voting</w:t>
                  </w:r>
                </w:p>
              </w:tc>
              <w:tc>
                <w:tcPr/>
                <w:p>
                  <w:pPr>
                    <w:pStyle w:val="Compact"/>
                    <w:jc w:val="left"/>
                    <w:jc w:val="center"/>
                  </w:pPr>
                  <w:r>
                    <w:t xml:space="preserve">Formally expressing approval or disapproval through voting on resolutions and proposing shareholder resolutions on specific ESG issues.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Engagement</w:t>
                  </w:r>
                </w:p>
              </w:tc>
              <w:tc>
                <w:tcPr/>
                <w:p>
                  <w:pPr>
                    <w:pStyle w:val="Compact"/>
                    <w:jc w:val="left"/>
                    <w:jc w:val="center"/>
                  </w:pPr>
                  <w:r>
                    <w:t xml:space="preserve">Engaging with companies to influence their ESG practices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ESG Momentum Investing</w:t>
                  </w:r>
                </w:p>
              </w:tc>
              <w:tc>
                <w:tcPr/>
                <w:p>
                  <w:pPr>
                    <w:pStyle w:val="Compact"/>
                    <w:jc w:val="left"/>
                    <w:jc w:val="center"/>
                  </w:pPr>
                  <w:r>
                    <w:t xml:space="preserve">Investing in companies improving their ESG performance</w:t>
                  </w:r>
                </w:p>
              </w:tc>
              <w:tc>
                <w:tcPr/>
                <w:p>
                  <w:pPr>
                    <w:pStyle w:val="Compact"/>
                    <w:jc w:val="left"/>
                    <w:jc w:val="center"/>
                  </w:pPr>
                  <w:r>
                    <w:t xml:space="preserve">Europe, North America</w:t>
                  </w:r>
                </w:p>
              </w:tc>
              <w:tc>
                <w:tcPr/>
                <w:p>
                  <w:pPr>
                    <w:pStyle w:val="Compact"/>
                    <w:jc w:val="left"/>
                    <w:jc w:val="center"/>
                  </w:pPr>
                  <w:r>
                    <w:t xml:space="preserve">Emerging strategy</w:t>
                  </w:r>
                </w:p>
              </w:tc>
              <w:tc>
                <w:tcPr/>
                <w:p>
                  <w:pPr>
                    <w:pStyle w:val="Compact"/>
                    <w:jc w:val="left"/>
                    <w:jc w:val="center"/>
                  </w:pPr>
                  <w:r>
                    <w:t xml:space="preserve">Requires detailed performance tracking</w:t>
                  </w:r>
                </w:p>
              </w:tc>
              <w:tc>
                <w:tcPr/>
                <w:p>
                  <w:pPr>
                    <w:pStyle w:val="Compact"/>
                    <w:jc w:val="left"/>
                    <w:jc w:val="center"/>
                  </w:pPr>
                  <w:r>
                    <w:t xml:space="preserve">Encourages continuous improvement, dynamic approach</w:t>
                  </w:r>
                </w:p>
              </w:tc>
            </w:tr>
            <w:tr>
              <w:tc>
                <w:tcPr/>
                <w:p>
                  <w:pPr>
                    <w:pStyle w:val="Compact"/>
                    <w:jc w:val="left"/>
                    <w:jc w:val="center"/>
                  </w:pPr>
                  <w:r>
                    <w:t xml:space="preserve">Negative/Positive Tilt</w:t>
                  </w:r>
                </w:p>
              </w:tc>
              <w:tc>
                <w:tcPr/>
                <w:p>
                  <w:pPr>
                    <w:pStyle w:val="Compact"/>
                    <w:jc w:val="left"/>
                    <w:jc w:val="center"/>
                  </w:pPr>
                  <w:r>
                    <w:t xml:space="preserve">Adjusting portfolio weight based on ESG criteria</w:t>
                  </w:r>
                </w:p>
              </w:tc>
              <w:tc>
                <w:tcPr/>
                <w:p>
                  <w:pPr>
                    <w:pStyle w:val="Compact"/>
                    <w:jc w:val="left"/>
                    <w:jc w:val="center"/>
                  </w:pPr>
                  <w:r>
                    <w:t xml:space="preserve">Global</w:t>
                  </w:r>
                </w:p>
              </w:tc>
              <w:tc>
                <w:tcPr/>
                <w:p>
                  <w:pPr>
                    <w:pStyle w:val="Compact"/>
                    <w:jc w:val="left"/>
                    <w:jc w:val="center"/>
                  </w:pPr>
                  <w:r>
                    <w:t xml:space="preserve">Growing among passive and index investors</w:t>
                  </w:r>
                </w:p>
              </w:tc>
              <w:tc>
                <w:tcPr/>
                <w:p>
                  <w:pPr>
                    <w:pStyle w:val="Compact"/>
                    <w:jc w:val="left"/>
                    <w:jc w:val="center"/>
                  </w:pPr>
                  <w:r>
                    <w:t xml:space="preserve">Can lead to sub-optimal diversification</w:t>
                  </w:r>
                </w:p>
              </w:tc>
              <w:tc>
                <w:tcPr/>
                <w:p>
                  <w:pPr>
                    <w:pStyle w:val="Compact"/>
                    <w:jc w:val="left"/>
                    <w:jc w:val="center"/>
                  </w:pPr>
                  <w:r>
                    <w:t xml:space="preserve">Enhances ESG exposure, flexible implementation</w:t>
                  </w:r>
                </w:p>
              </w:tc>
            </w:tr>
          </w:tbl>
          <w:bookmarkEnd w:id="73"/>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4" w:name="tbl-IIS"/>
          <w:p>
            <w:pPr>
              <w:jc w:val="center"/>
            </w:pPr>
            <w:pPr>
              <w:jc w:val="start"/>
              <w:spacing w:before="200"/>
              <w:pStyle w:val="ImageCaption"/>
            </w:pPr>
            <w:r>
              <w:t xml:space="preserve">Table 6: Overview of Impact Investment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Sustainability Themed</w:t>
                  </w:r>
                </w:p>
              </w:tc>
              <w:tc>
                <w:tcPr/>
                <w:p>
                  <w:pPr>
                    <w:pStyle w:val="Compact"/>
                    <w:jc w:val="left"/>
                    <w:jc w:val="center"/>
                  </w:pPr>
                  <w:r>
                    <w:t xml:space="preserve">Investing in themes or sectors related to sustainability</w:t>
                  </w:r>
                </w:p>
              </w:tc>
              <w:tc>
                <w:tcPr/>
                <w:p>
                  <w:pPr>
                    <w:pStyle w:val="Compact"/>
                    <w:jc w:val="left"/>
                    <w:jc w:val="center"/>
                  </w:pPr>
                  <w:r>
                    <w:t xml:space="preserve">Europe, Asia, North America</w:t>
                  </w:r>
                </w:p>
              </w:tc>
              <w:tc>
                <w:tcPr/>
                <w:p>
                  <w:pPr>
                    <w:pStyle w:val="Compact"/>
                    <w:jc w:val="left"/>
                    <w:jc w:val="center"/>
                  </w:pPr>
                  <w:r>
                    <w:t xml:space="preserve">High acceptance, especially in thematic funds</w:t>
                  </w:r>
                </w:p>
              </w:tc>
              <w:tc>
                <w:tcPr/>
                <w:p>
                  <w:pPr>
                    <w:pStyle w:val="Compact"/>
                    <w:jc w:val="left"/>
                    <w:jc w:val="center"/>
                  </w:pPr>
                  <w:r>
                    <w:t xml:space="preserve">Can be niche, might limit diversification</w:t>
                  </w:r>
                </w:p>
              </w:tc>
              <w:tc>
                <w:tcPr/>
                <w:p>
                  <w:pPr>
                    <w:pStyle w:val="Compact"/>
                    <w:jc w:val="left"/>
                    <w:jc w:val="center"/>
                  </w:pPr>
                  <w:r>
                    <w:t xml:space="preserve">Targets specific sustainability outcomes, appeals to impact-focused investors</w:t>
                  </w:r>
                </w:p>
              </w:tc>
            </w:tr>
            <w:tr>
              <w:tc>
                <w:tcPr/>
                <w:p>
                  <w:pPr>
                    <w:pStyle w:val="Compact"/>
                    <w:jc w:val="left"/>
                    <w:jc w:val="center"/>
                  </w:pPr>
                  <w:r>
                    <w:t xml:space="preserve">Impact Investing</w:t>
                  </w:r>
                </w:p>
              </w:tc>
              <w:tc>
                <w:tcPr/>
                <w:p>
                  <w:pPr>
                    <w:pStyle w:val="Compact"/>
                    <w:jc w:val="left"/>
                    <w:jc w:val="center"/>
                  </w:pPr>
                  <w:r>
                    <w:t xml:space="preserve">Investing to generate measurable social or environmental impact</w:t>
                  </w:r>
                </w:p>
              </w:tc>
              <w:tc>
                <w:tcPr/>
                <w:p>
                  <w:pPr>
                    <w:pStyle w:val="Compact"/>
                    <w:jc w:val="left"/>
                    <w:jc w:val="center"/>
                  </w:pPr>
                  <w:r>
                    <w:t xml:space="preserve">Global</w:t>
                  </w:r>
                </w:p>
              </w:tc>
              <w:tc>
                <w:tcPr/>
                <w:p>
                  <w:pPr>
                    <w:pStyle w:val="Compact"/>
                    <w:jc w:val="left"/>
                    <w:jc w:val="center"/>
                  </w:pPr>
                  <w:r>
                    <w:t xml:space="preserve">Growing, especially among social impact funds</w:t>
                  </w:r>
                </w:p>
              </w:tc>
              <w:tc>
                <w:tcPr/>
                <w:p>
                  <w:pPr>
                    <w:pStyle w:val="Compact"/>
                    <w:jc w:val="left"/>
                    <w:jc w:val="center"/>
                  </w:pPr>
                  <w:r>
                    <w:t xml:space="preserve">Often involves higher risk, long time horizons</w:t>
                  </w:r>
                </w:p>
              </w:tc>
              <w:tc>
                <w:tcPr/>
                <w:p>
                  <w:pPr>
                    <w:pStyle w:val="Compact"/>
                    <w:jc w:val="left"/>
                    <w:jc w:val="center"/>
                  </w:pPr>
                  <w:r>
                    <w:t xml:space="preserve">Directly addresses social and environmental issues, measurable impact</w:t>
                  </w:r>
                </w:p>
              </w:tc>
            </w:tr>
            <w:tr>
              <w:tc>
                <w:tcPr/>
                <w:p>
                  <w:pPr>
                    <w:pStyle w:val="Compact"/>
                    <w:jc w:val="left"/>
                    <w:jc w:val="center"/>
                  </w:pPr>
                  <w:r>
                    <w:t xml:space="preserve">Community Investing</w:t>
                  </w:r>
                </w:p>
              </w:tc>
              <w:tc>
                <w:tcPr/>
                <w:p>
                  <w:pPr>
                    <w:pStyle w:val="Compact"/>
                    <w:jc w:val="left"/>
                    <w:jc w:val="center"/>
                  </w:pPr>
                  <w:r>
                    <w:t xml:space="preserve">Direct investments in community development projects</w:t>
                  </w:r>
                </w:p>
              </w:tc>
              <w:tc>
                <w:tcPr/>
                <w:p>
                  <w:pPr>
                    <w:pStyle w:val="Compact"/>
                    <w:jc w:val="left"/>
                    <w:jc w:val="center"/>
                  </w:pPr>
                  <w:r>
                    <w:t xml:space="preserve">North America, Global</w:t>
                  </w:r>
                </w:p>
              </w:tc>
              <w:tc>
                <w:tcPr/>
                <w:p>
                  <w:pPr>
                    <w:pStyle w:val="Compact"/>
                    <w:jc w:val="left"/>
                    <w:jc w:val="center"/>
                  </w:pPr>
                  <w:r>
                    <w:t xml:space="preserve">Growing in popularity among socially conscious investors</w:t>
                  </w:r>
                </w:p>
              </w:tc>
              <w:tc>
                <w:tcPr/>
                <w:p>
                  <w:pPr>
                    <w:pStyle w:val="Compact"/>
                    <w:jc w:val="left"/>
                    <w:jc w:val="center"/>
                  </w:pPr>
                  <w:r>
                    <w:t xml:space="preserve">Higher risk, often lower returns</w:t>
                  </w:r>
                </w:p>
              </w:tc>
              <w:tc>
                <w:tcPr/>
                <w:p>
                  <w:pPr>
                    <w:pStyle w:val="Compact"/>
                    <w:jc w:val="left"/>
                    <w:jc w:val="center"/>
                  </w:pPr>
                  <w:r>
                    <w:t xml:space="preserve">Supports local communities, social impact</w:t>
                  </w:r>
                </w:p>
              </w:tc>
            </w:tr>
            <w:tr>
              <w:tc>
                <w:tcPr/>
                <w:p>
                  <w:pPr>
                    <w:pStyle w:val="Compact"/>
                    <w:jc w:val="left"/>
                    <w:jc w:val="center"/>
                  </w:pPr>
                  <w:r>
                    <w:t xml:space="preserve">Transition Investing</w:t>
                  </w:r>
                </w:p>
              </w:tc>
              <w:tc>
                <w:tcPr/>
                <w:p>
                  <w:pPr>
                    <w:pStyle w:val="Compact"/>
                    <w:jc w:val="left"/>
                    <w:jc w:val="center"/>
                  </w:pPr>
                  <w:r>
                    <w:t xml:space="preserve">Supporting companies in transitioning to sustainable practices</w:t>
                  </w:r>
                </w:p>
              </w:tc>
              <w:tc>
                <w:tcPr/>
                <w:p>
                  <w:pPr>
                    <w:pStyle w:val="Compact"/>
                    <w:jc w:val="left"/>
                    <w:jc w:val="center"/>
                  </w:pPr>
                  <w:r>
                    <w:t xml:space="preserve">Europe, Asia</w:t>
                  </w:r>
                </w:p>
              </w:tc>
              <w:tc>
                <w:tcPr/>
                <w:p>
                  <w:pPr>
                    <w:pStyle w:val="Compact"/>
                    <w:jc w:val="left"/>
                    <w:jc w:val="center"/>
                  </w:pPr>
                  <w:r>
                    <w:t xml:space="preserve">Emerging strategy</w:t>
                  </w:r>
                </w:p>
              </w:tc>
              <w:tc>
                <w:tcPr/>
                <w:p>
                  <w:pPr>
                    <w:pStyle w:val="Compact"/>
                    <w:jc w:val="left"/>
                    <w:jc w:val="center"/>
                  </w:pPr>
                  <w:r>
                    <w:t xml:space="preserve">Risk of transition failure, can be capital intensive</w:t>
                  </w:r>
                </w:p>
              </w:tc>
              <w:tc>
                <w:tcPr/>
                <w:p>
                  <w:pPr>
                    <w:pStyle w:val="Compact"/>
                    <w:jc w:val="left"/>
                    <w:jc w:val="center"/>
                  </w:pPr>
                  <w:r>
                    <w:t xml:space="preserve">Facilitates sustainability transitions, can drive significant change</w:t>
                  </w:r>
                </w:p>
              </w:tc>
            </w:tr>
            <w:tr>
              <w:tc>
                <w:tcPr/>
                <w:p>
                  <w:pPr>
                    <w:pStyle w:val="Compact"/>
                    <w:jc w:val="left"/>
                    <w:jc w:val="center"/>
                  </w:pPr>
                  <w:r>
                    <w:t xml:space="preserve">Climate Change Mitigation</w:t>
                  </w:r>
                </w:p>
              </w:tc>
              <w:tc>
                <w:tcPr/>
                <w:p>
                  <w:pPr>
                    <w:pStyle w:val="Compact"/>
                    <w:jc w:val="left"/>
                    <w:jc w:val="center"/>
                  </w:pPr>
                  <w:r>
                    <w:t xml:space="preserve">Investments aimed at reducing carbon emissions</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May be narrow in focus, requires thorough impact assessment</w:t>
                  </w:r>
                </w:p>
              </w:tc>
              <w:tc>
                <w:tcPr/>
                <w:p>
                  <w:pPr>
                    <w:pStyle w:val="Compact"/>
                    <w:jc w:val="left"/>
                    <w:jc w:val="center"/>
                  </w:pPr>
                  <w:r>
                    <w:t xml:space="preserve">Addresses climate change directly, supports global goals</w:t>
                  </w:r>
                </w:p>
              </w:tc>
            </w:tr>
            <w:tr>
              <w:tc>
                <w:tcPr/>
                <w:p>
                  <w:pPr>
                    <w:pStyle w:val="Compact"/>
                    <w:jc w:val="left"/>
                    <w:jc w:val="center"/>
                  </w:pPr>
                  <w:r>
                    <w:t xml:space="preserve">Circular Economy Investing</w:t>
                  </w:r>
                </w:p>
              </w:tc>
              <w:tc>
                <w:tcPr/>
                <w:p>
                  <w:pPr>
                    <w:pStyle w:val="Compact"/>
                    <w:jc w:val="left"/>
                    <w:jc w:val="center"/>
                  </w:pPr>
                  <w:r>
                    <w:t xml:space="preserve">Investing in companies promoting resource efficiency and waste reduction</w:t>
                  </w:r>
                </w:p>
              </w:tc>
              <w:tc>
                <w:tcPr/>
                <w:p>
                  <w:pPr>
                    <w:pStyle w:val="Compact"/>
                    <w:jc w:val="left"/>
                    <w:jc w:val="center"/>
                  </w:pPr>
                  <w:r>
                    <w:t xml:space="preserve">Europe, Asia</w:t>
                  </w:r>
                </w:p>
              </w:tc>
              <w:tc>
                <w:tcPr/>
                <w:p>
                  <w:pPr>
                    <w:pStyle w:val="Compact"/>
                    <w:jc w:val="left"/>
                    <w:jc w:val="center"/>
                  </w:pPr>
                  <w:r>
                    <w:t xml:space="preserve">Growing acceptance</w:t>
                  </w:r>
                </w:p>
              </w:tc>
              <w:tc>
                <w:tcPr/>
                <w:p>
                  <w:pPr>
                    <w:pStyle w:val="Compact"/>
                    <w:jc w:val="left"/>
                    <w:jc w:val="center"/>
                  </w:pPr>
                  <w:r>
                    <w:t xml:space="preserve">Can be niche, may require specific expertise</w:t>
                  </w:r>
                </w:p>
              </w:tc>
              <w:tc>
                <w:tcPr/>
                <w:p>
                  <w:pPr>
                    <w:pStyle w:val="Compact"/>
                    <w:jc w:val="left"/>
                    <w:jc w:val="center"/>
                  </w:pPr>
                  <w:r>
                    <w:t xml:space="preserve">Supports sustainable resource use, innovative business models</w:t>
                  </w:r>
                </w:p>
              </w:tc>
            </w:tr>
            <w:tr>
              <w:tc>
                <w:tcPr/>
                <w:p>
                  <w:pPr>
                    <w:pStyle w:val="Compact"/>
                    <w:jc w:val="left"/>
                    <w:jc w:val="center"/>
                  </w:pPr>
                  <w:r>
                    <w:t xml:space="preserve">SDGs Investing</w:t>
                  </w:r>
                </w:p>
              </w:tc>
              <w:tc>
                <w:tcPr/>
                <w:p>
                  <w:pPr>
                    <w:pStyle w:val="Compact"/>
                    <w:jc w:val="left"/>
                    <w:jc w:val="center"/>
                  </w:pPr>
                  <w:r>
                    <w:t xml:space="preserve">Aligning investments with the UN’s Sustainable Development Goals</w:t>
                  </w:r>
                </w:p>
              </w:tc>
              <w:tc>
                <w:tcPr/>
                <w:p>
                  <w:pPr>
                    <w:pStyle w:val="Compact"/>
                    <w:jc w:val="left"/>
                    <w:jc w:val="center"/>
                  </w:pPr>
                  <w:r>
                    <w:t xml:space="preserve">Global</w:t>
                  </w:r>
                </w:p>
              </w:tc>
              <w:tc>
                <w:tcPr/>
                <w:p>
                  <w:pPr>
                    <w:pStyle w:val="Compact"/>
                    <w:jc w:val="left"/>
                    <w:jc w:val="center"/>
                  </w:pPr>
                  <w:r>
                    <w:t xml:space="preserve">Increasing, especially among impact investors</w:t>
                  </w:r>
                </w:p>
              </w:tc>
              <w:tc>
                <w:tcPr/>
                <w:p>
                  <w:pPr>
                    <w:pStyle w:val="Compact"/>
                    <w:jc w:val="left"/>
                    <w:jc w:val="center"/>
                  </w:pPr>
                  <w:r>
                    <w:t xml:space="preserve">Can be broad, difficult to measure impact</w:t>
                  </w:r>
                </w:p>
              </w:tc>
              <w:tc>
                <w:tcPr/>
                <w:p>
                  <w:pPr>
                    <w:pStyle w:val="Compact"/>
                    <w:jc w:val="left"/>
                    <w:jc w:val="center"/>
                  </w:pPr>
                  <w:r>
                    <w:t xml:space="preserve">Aligns with global development goals, broad impact</w:t>
                  </w:r>
                </w:p>
              </w:tc>
            </w:tr>
          </w:tbl>
          <w:bookmarkEnd w:id="7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5" w:name="tbl-GFSF"/>
          <w:p>
            <w:pPr>
              <w:jc w:val="center"/>
            </w:pPr>
            <w:pPr>
              <w:jc w:val="start"/>
              <w:spacing w:before="200"/>
              <w:pStyle w:val="ImageCaption"/>
            </w:pPr>
            <w:r>
              <w:t xml:space="preserve">Table 7: Overview of Green Finance and Social Finance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Green Bonds</w:t>
                  </w:r>
                </w:p>
              </w:tc>
              <w:tc>
                <w:tcPr/>
                <w:p>
                  <w:pPr>
                    <w:pStyle w:val="Compact"/>
                    <w:jc w:val="left"/>
                    <w:jc w:val="center"/>
                  </w:pPr>
                  <w:r>
                    <w:t xml:space="preserve">Bonds specifically earmarked to fund projects with positive environmental benefits</w:t>
                  </w:r>
                </w:p>
              </w:tc>
              <w:tc>
                <w:tcPr/>
                <w:p>
                  <w:pPr>
                    <w:pStyle w:val="Compact"/>
                    <w:jc w:val="left"/>
                    <w:jc w:val="center"/>
                  </w:pPr>
                  <w:r>
                    <w:t xml:space="preserve">Global</w:t>
                  </w:r>
                </w:p>
              </w:tc>
              <w:tc>
                <w:tcPr/>
                <w:p>
                  <w:pPr>
                    <w:pStyle w:val="Compact"/>
                    <w:jc w:val="left"/>
                    <w:jc w:val="center"/>
                  </w:pPr>
                  <w:r>
                    <w:t xml:space="preserve">Increasing, especially among institutional investors</w:t>
                  </w:r>
                </w:p>
              </w:tc>
              <w:tc>
                <w:tcPr/>
                <w:p>
                  <w:pPr>
                    <w:pStyle w:val="Compact"/>
                    <w:jc w:val="left"/>
                    <w:jc w:val="center"/>
                  </w:pPr>
                  <w:r>
                    <w:t xml:space="preserve">Can be complex to assess impact</w:t>
                  </w:r>
                </w:p>
              </w:tc>
              <w:tc>
                <w:tcPr/>
                <w:p>
                  <w:pPr>
                    <w:pStyle w:val="Compact"/>
                    <w:jc w:val="left"/>
                    <w:jc w:val="center"/>
                  </w:pPr>
                  <w:r>
                    <w:t xml:space="preserve">Direct funding of environmental projects, transparent use of proceeds</w:t>
                  </w:r>
                </w:p>
              </w:tc>
            </w:tr>
            <w:tr>
              <w:tc>
                <w:tcPr/>
                <w:p>
                  <w:pPr>
                    <w:pStyle w:val="Compact"/>
                    <w:jc w:val="left"/>
                    <w:jc w:val="center"/>
                  </w:pPr>
                  <w:r>
                    <w:t xml:space="preserve">Sustainability Bonds</w:t>
                  </w:r>
                </w:p>
              </w:tc>
              <w:tc>
                <w:tcPr/>
                <w:p>
                  <w:pPr>
                    <w:pStyle w:val="Compact"/>
                    <w:jc w:val="left"/>
                    <w:jc w:val="center"/>
                  </w:pPr>
                  <w:r>
                    <w:t xml:space="preserve">Bonds that finance both environmental and social projects</w:t>
                  </w:r>
                </w:p>
              </w:tc>
              <w:tc>
                <w:tcPr/>
                <w:p>
                  <w:pPr>
                    <w:pStyle w:val="Compact"/>
                    <w:jc w:val="left"/>
                    <w:jc w:val="center"/>
                  </w:pPr>
                  <w:r>
                    <w:t xml:space="preserve">Global</w:t>
                  </w:r>
                </w:p>
              </w:tc>
              <w:tc>
                <w:tcPr/>
                <w:p>
                  <w:pPr>
                    <w:pStyle w:val="Compact"/>
                    <w:jc w:val="left"/>
                    <w:jc w:val="center"/>
                  </w:pPr>
                  <w:r>
                    <w:t xml:space="preserve">Growing in acceptance</w:t>
                  </w:r>
                </w:p>
              </w:tc>
              <w:tc>
                <w:tcPr/>
                <w:p>
                  <w:pPr>
                    <w:pStyle w:val="Compact"/>
                    <w:jc w:val="left"/>
                    <w:jc w:val="center"/>
                  </w:pPr>
                  <w:r>
                    <w:t xml:space="preserve">Requires clear reporting and impact assessment</w:t>
                  </w:r>
                </w:p>
              </w:tc>
              <w:tc>
                <w:tcPr/>
                <w:p>
                  <w:pPr>
                    <w:pStyle w:val="Compact"/>
                    <w:jc w:val="left"/>
                    <w:jc w:val="center"/>
                  </w:pPr>
                  <w:r>
                    <w:t xml:space="preserve">Flexible funding for multiple sustainability projects</w:t>
                  </w:r>
                </w:p>
              </w:tc>
            </w:tr>
            <w:tr>
              <w:tc>
                <w:tcPr/>
                <w:p>
                  <w:pPr>
                    <w:pStyle w:val="Compact"/>
                    <w:jc w:val="left"/>
                    <w:jc w:val="center"/>
                  </w:pPr>
                  <w:r>
                    <w:t xml:space="preserve">Climate Bonds</w:t>
                  </w:r>
                </w:p>
              </w:tc>
              <w:tc>
                <w:tcPr/>
                <w:p>
                  <w:pPr>
                    <w:pStyle w:val="Compact"/>
                    <w:jc w:val="left"/>
                    <w:jc w:val="center"/>
                  </w:pPr>
                  <w:r>
                    <w:t xml:space="preserve">Bonds aimed at raising capital for climate change mitigation/adaptation</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Requires stringent verification</w:t>
                  </w:r>
                </w:p>
              </w:tc>
              <w:tc>
                <w:tcPr/>
                <w:p>
                  <w:pPr>
                    <w:pStyle w:val="Compact"/>
                    <w:jc w:val="left"/>
                    <w:jc w:val="center"/>
                  </w:pPr>
                  <w:r>
                    <w:t xml:space="preserve">Directly supports climate initiatives, transparent objectives</w:t>
                  </w:r>
                </w:p>
              </w:tc>
            </w:tr>
            <w:tr>
              <w:tc>
                <w:tcPr/>
                <w:p>
                  <w:pPr>
                    <w:pStyle w:val="Compact"/>
                    <w:jc w:val="left"/>
                    <w:jc w:val="center"/>
                  </w:pPr>
                  <w:r>
                    <w:t xml:space="preserve">Social Bonds</w:t>
                  </w:r>
                </w:p>
              </w:tc>
              <w:tc>
                <w:tcPr/>
                <w:p>
                  <w:pPr>
                    <w:pStyle w:val="Compact"/>
                    <w:jc w:val="left"/>
                    <w:jc w:val="center"/>
                  </w:pPr>
                  <w:r>
                    <w:t xml:space="preserve">Bonds issued to raise funds for social projects</w:t>
                  </w:r>
                </w:p>
              </w:tc>
              <w:tc>
                <w:tcPr/>
                <w:p>
                  <w:pPr>
                    <w:pStyle w:val="Compact"/>
                    <w:jc w:val="left"/>
                    <w:jc w:val="center"/>
                  </w:pPr>
                  <w:r>
                    <w:t xml:space="preserve">Global</w:t>
                  </w:r>
                </w:p>
              </w:tc>
              <w:tc>
                <w:tcPr/>
                <w:p>
                  <w:pPr>
                    <w:pStyle w:val="Compact"/>
                    <w:jc w:val="left"/>
                    <w:jc w:val="center"/>
                  </w:pPr>
                  <w:r>
                    <w:t xml:space="preserve">Growing in social impact sectors</w:t>
                  </w:r>
                </w:p>
              </w:tc>
              <w:tc>
                <w:tcPr/>
                <w:p>
                  <w:pPr>
                    <w:pStyle w:val="Compact"/>
                    <w:jc w:val="left"/>
                    <w:jc w:val="center"/>
                  </w:pPr>
                  <w:r>
                    <w:t xml:space="preserve">Requires clear impact measurement</w:t>
                  </w:r>
                </w:p>
              </w:tc>
              <w:tc>
                <w:tcPr/>
                <w:p>
                  <w:pPr>
                    <w:pStyle w:val="Compact"/>
                    <w:jc w:val="left"/>
                    <w:jc w:val="center"/>
                  </w:pPr>
                  <w:r>
                    <w:t xml:space="preserve">Addresses social issues directly, transparent use of funds</w:t>
                  </w:r>
                </w:p>
              </w:tc>
            </w:tr>
            <w:tr>
              <w:tc>
                <w:tcPr/>
                <w:p>
                  <w:pPr>
                    <w:pStyle w:val="Compact"/>
                    <w:jc w:val="left"/>
                    <w:jc w:val="center"/>
                  </w:pPr>
                  <w:r>
                    <w:t xml:space="preserve">Social Impact Bonds</w:t>
                  </w:r>
                </w:p>
              </w:tc>
              <w:tc>
                <w:tcPr/>
                <w:p>
                  <w:pPr>
                    <w:pStyle w:val="Compact"/>
                    <w:jc w:val="left"/>
                    <w:jc w:val="center"/>
                  </w:pPr>
                  <w:r>
                    <w:t xml:space="preserve">Pay-for-success bonds funding social programs with returns based on outcomes</w:t>
                  </w:r>
                </w:p>
              </w:tc>
              <w:tc>
                <w:tcPr/>
                <w:p>
                  <w:pPr>
                    <w:pStyle w:val="Compact"/>
                    <w:jc w:val="left"/>
                    <w:jc w:val="center"/>
                  </w:pPr>
                  <w:r>
                    <w:t xml:space="preserve">Global</w:t>
                  </w:r>
                </w:p>
              </w:tc>
              <w:tc>
                <w:tcPr/>
                <w:p>
                  <w:pPr>
                    <w:pStyle w:val="Compact"/>
                    <w:jc w:val="left"/>
                    <w:jc w:val="center"/>
                  </w:pPr>
                  <w:r>
                    <w:t xml:space="preserve">Emerging strategy, still developing acceptance</w:t>
                  </w:r>
                </w:p>
              </w:tc>
              <w:tc>
                <w:tcPr/>
                <w:p>
                  <w:pPr>
                    <w:pStyle w:val="Compact"/>
                    <w:jc w:val="left"/>
                    <w:jc w:val="center"/>
                  </w:pPr>
                  <w:r>
                    <w:t xml:space="preserve">Complex to structure, outcome-based risks</w:t>
                  </w:r>
                </w:p>
              </w:tc>
              <w:tc>
                <w:tcPr/>
                <w:p>
                  <w:pPr>
                    <w:pStyle w:val="Compact"/>
                    <w:jc w:val="left"/>
                    <w:jc w:val="center"/>
                  </w:pPr>
                  <w:r>
                    <w:t xml:space="preserve">Aligns financial returns with social outcomes</w:t>
                  </w:r>
                </w:p>
              </w:tc>
            </w:tr>
          </w:tbl>
          <w:bookmarkEnd w:id="75"/>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6" w:name="tbl-GEI"/>
          <w:p>
            <w:pPr>
              <w:jc w:val="center"/>
            </w:pPr>
            <w:pPr>
              <w:jc w:val="start"/>
              <w:spacing w:before="200"/>
              <w:pStyle w:val="ImageCaption"/>
            </w:pPr>
            <w:r>
              <w:t xml:space="preserve">Table 8: Overview of Governance and Ethical Investing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Active Ownership</w:t>
                  </w:r>
                </w:p>
              </w:tc>
              <w:tc>
                <w:tcPr/>
                <w:p>
                  <w:pPr>
                    <w:pStyle w:val="Compact"/>
                    <w:jc w:val="left"/>
                    <w:jc w:val="center"/>
                  </w:pPr>
                  <w:r>
                    <w:t xml:space="preserve">Using shareholder power to influence corporate behavior through proxy voting and engagement</w:t>
                  </w:r>
                </w:p>
              </w:tc>
              <w:tc>
                <w:tcPr/>
                <w:p>
                  <w:pPr>
                    <w:pStyle w:val="Compact"/>
                    <w:jc w:val="left"/>
                    <w:jc w:val="center"/>
                  </w:pPr>
                  <w:r>
                    <w:t xml:space="preserve">Global</w:t>
                  </w:r>
                </w:p>
              </w:tc>
              <w:tc>
                <w:tcPr/>
                <w:p>
                  <w:pPr>
                    <w:pStyle w:val="Compact"/>
                    <w:jc w:val="left"/>
                    <w:jc w:val="center"/>
                  </w:pPr>
                  <w:r>
                    <w:t xml:space="preserve">Widely accepted in activist circles</w:t>
                  </w:r>
                </w:p>
              </w:tc>
              <w:tc>
                <w:tcPr/>
                <w:p>
                  <w:pPr>
                    <w:pStyle w:val="Compact"/>
                    <w:jc w:val="left"/>
                    <w:jc w:val="center"/>
                  </w:pPr>
                  <w:r>
                    <w:t xml:space="preserve">Resource-intensive, may face resistance from management</w:t>
                  </w:r>
                </w:p>
              </w:tc>
              <w:tc>
                <w:tcPr/>
                <w:p>
                  <w:pPr>
                    <w:pStyle w:val="Compact"/>
                    <w:jc w:val="left"/>
                    <w:jc w:val="center"/>
                  </w:pPr>
                  <w:r>
                    <w:t xml:space="preserve">Can drive significant corporate change, empowers investors</w:t>
                  </w:r>
                </w:p>
              </w:tc>
            </w:tr>
            <w:tr>
              <w:tc>
                <w:tcPr/>
                <w:p>
                  <w:pPr>
                    <w:pStyle w:val="Compact"/>
                    <w:jc w:val="left"/>
                    <w:jc w:val="center"/>
                  </w:pPr>
                  <w:r>
                    <w:t xml:space="preserve">Corporate Governance Investing</w:t>
                  </w:r>
                </w:p>
              </w:tc>
              <w:tc>
                <w:tcPr/>
                <w:p>
                  <w:pPr>
                    <w:pStyle w:val="Compact"/>
                    <w:jc w:val="left"/>
                    <w:jc w:val="center"/>
                  </w:pPr>
                  <w:r>
                    <w:t xml:space="preserve">Focusing on companies with strong governance practices</w:t>
                  </w:r>
                </w:p>
              </w:tc>
              <w:tc>
                <w:tcPr/>
                <w:p>
                  <w:pPr>
                    <w:pStyle w:val="Compact"/>
                    <w:jc w:val="left"/>
                    <w:jc w:val="center"/>
                  </w:pPr>
                  <w:r>
                    <w:t xml:space="preserve">Global</w:t>
                  </w:r>
                </w:p>
              </w:tc>
              <w:tc>
                <w:tcPr/>
                <w:p>
                  <w:pPr>
                    <w:pStyle w:val="Compact"/>
                    <w:jc w:val="left"/>
                    <w:jc w:val="center"/>
                  </w:pPr>
                  <w:r>
                    <w:t xml:space="preserve">Growing among governance-focused funds</w:t>
                  </w:r>
                </w:p>
              </w:tc>
              <w:tc>
                <w:tcPr/>
                <w:p>
                  <w:pPr>
                    <w:pStyle w:val="Compact"/>
                    <w:jc w:val="left"/>
                    <w:jc w:val="center"/>
                  </w:pPr>
                  <w:r>
                    <w:t xml:space="preserve">May overlook environmental and social factors</w:t>
                  </w:r>
                </w:p>
              </w:tc>
              <w:tc>
                <w:tcPr/>
                <w:p>
                  <w:pPr>
                    <w:pStyle w:val="Compact"/>
                    <w:jc w:val="left"/>
                    <w:jc w:val="center"/>
                  </w:pPr>
                  <w:r>
                    <w:t xml:space="preserve">Enhances corporate governance, reduces governance risks</w:t>
                  </w:r>
                </w:p>
              </w:tc>
            </w:tr>
            <w:tr>
              <w:tc>
                <w:tcPr/>
                <w:p>
                  <w:pPr>
                    <w:pStyle w:val="Compact"/>
                    <w:jc w:val="left"/>
                    <w:jc w:val="center"/>
                  </w:pPr>
                  <w:r>
                    <w:t xml:space="preserve">Faith-Based Investing</w:t>
                  </w:r>
                </w:p>
              </w:tc>
              <w:tc>
                <w:tcPr/>
                <w:p>
                  <w:pPr>
                    <w:pStyle w:val="Compact"/>
                    <w:jc w:val="left"/>
                    <w:jc w:val="center"/>
                  </w:pPr>
                  <w:r>
                    <w:t xml:space="preserve">Investments guided by religious or ethical beliefs</w:t>
                  </w:r>
                </w:p>
              </w:tc>
              <w:tc>
                <w:tcPr/>
                <w:p>
                  <w:pPr>
                    <w:pStyle w:val="Compact"/>
                    <w:jc w:val="left"/>
                    <w:jc w:val="center"/>
                  </w:pPr>
                  <w:r>
                    <w:t xml:space="preserve">Global</w:t>
                  </w:r>
                </w:p>
              </w:tc>
              <w:tc>
                <w:tcPr/>
                <w:p>
                  <w:pPr>
                    <w:pStyle w:val="Compact"/>
                    <w:jc w:val="left"/>
                    <w:jc w:val="center"/>
                  </w:pPr>
                  <w:r>
                    <w:t xml:space="preserve">Niche market, specific to certain groups</w:t>
                  </w:r>
                </w:p>
              </w:tc>
              <w:tc>
                <w:tcPr/>
                <w:p>
                  <w:pPr>
                    <w:pStyle w:val="Compact"/>
                    <w:jc w:val="left"/>
                    <w:jc w:val="center"/>
                  </w:pPr>
                  <w:r>
                    <w:t xml:space="preserve">Aligns with investor values, ethical alignment</w:t>
                  </w:r>
                </w:p>
              </w:tc>
              <w:tc>
                <w:tcPr/>
                <w:p>
                  <w:pPr>
                    <w:pStyle w:val="Compact"/>
                  </w:pPr>
                </w:p>
              </w:tc>
            </w:tr>
            <w:tr>
              <w:tc>
                <w:tcPr/>
                <w:p>
                  <w:pPr>
                    <w:pStyle w:val="Compact"/>
                    <w:jc w:val="left"/>
                    <w:jc w:val="center"/>
                  </w:pPr>
                  <w:r>
                    <w:t xml:space="preserve">Moral Investing</w:t>
                  </w:r>
                </w:p>
              </w:tc>
              <w:tc>
                <w:tcPr/>
                <w:p>
                  <w:pPr>
                    <w:pStyle w:val="Compact"/>
                    <w:jc w:val="left"/>
                    <w:jc w:val="center"/>
                  </w:pPr>
                  <w:r>
                    <w:t xml:space="preserve">Avoiding investments in industries or companies that contradict moral values</w:t>
                  </w:r>
                </w:p>
              </w:tc>
              <w:tc>
                <w:tcPr/>
                <w:p>
                  <w:pPr>
                    <w:pStyle w:val="Compact"/>
                    <w:jc w:val="left"/>
                    <w:jc w:val="center"/>
                  </w:pPr>
                  <w:r>
                    <w:t xml:space="preserve">Global</w:t>
                  </w:r>
                </w:p>
              </w:tc>
              <w:tc>
                <w:tcPr/>
                <w:p>
                  <w:pPr>
                    <w:pStyle w:val="Compact"/>
                    <w:jc w:val="left"/>
                    <w:jc w:val="center"/>
                  </w:pPr>
                  <w:r>
                    <w:t xml:space="preserve">Niche market, specific to certain beliefs</w:t>
                  </w:r>
                </w:p>
              </w:tc>
              <w:tc>
                <w:tcPr/>
                <w:p>
                  <w:pPr>
                    <w:pStyle w:val="Compact"/>
                    <w:jc w:val="left"/>
                    <w:jc w:val="center"/>
                  </w:pPr>
                  <w:r>
                    <w:t xml:space="preserve">Ensures investments reflect personal values</w:t>
                  </w:r>
                </w:p>
              </w:tc>
              <w:tc>
                <w:tcPr/>
                <w:p>
                  <w:pPr>
                    <w:pStyle w:val="Compact"/>
                  </w:pPr>
                </w:p>
              </w:tc>
            </w:tr>
            <w:tr>
              <w:tc>
                <w:tcPr/>
                <w:p>
                  <w:pPr>
                    <w:pStyle w:val="Compact"/>
                    <w:jc w:val="left"/>
                    <w:jc w:val="center"/>
                  </w:pPr>
                  <w:r>
                    <w:t xml:space="preserve">Venture Philanthropy</w:t>
                  </w:r>
                </w:p>
              </w:tc>
              <w:tc>
                <w:tcPr/>
                <w:p>
                  <w:pPr>
                    <w:pStyle w:val="Compact"/>
                    <w:jc w:val="left"/>
                    <w:jc w:val="center"/>
                  </w:pPr>
                  <w:r>
                    <w:t xml:space="preserve">Combining venture capital principles with philanthropy to maximize social impact</w:t>
                  </w:r>
                </w:p>
              </w:tc>
              <w:tc>
                <w:tcPr/>
                <w:p>
                  <w:pPr>
                    <w:pStyle w:val="Compact"/>
                    <w:jc w:val="left"/>
                    <w:jc w:val="center"/>
                  </w:pPr>
                  <w:r>
                    <w:t xml:space="preserve">Global</w:t>
                  </w:r>
                </w:p>
              </w:tc>
              <w:tc>
                <w:tcPr/>
                <w:p>
                  <w:pPr>
                    <w:pStyle w:val="Compact"/>
                    <w:jc w:val="left"/>
                    <w:jc w:val="center"/>
                  </w:pPr>
                  <w:r>
                    <w:t xml:space="preserve">Emerging, high potential for social impact</w:t>
                  </w:r>
                </w:p>
              </w:tc>
              <w:tc>
                <w:tcPr/>
                <w:p>
                  <w:pPr>
                    <w:pStyle w:val="Compact"/>
                    <w:jc w:val="left"/>
                    <w:jc w:val="center"/>
                  </w:pPr>
                  <w:r>
                    <w:t xml:space="preserve">Higher risk, may involve lower financial returns</w:t>
                  </w:r>
                </w:p>
              </w:tc>
              <w:tc>
                <w:tcPr/>
                <w:p>
                  <w:pPr>
                    <w:pStyle w:val="Compact"/>
                    <w:jc w:val="left"/>
                    <w:jc w:val="center"/>
                  </w:pPr>
                  <w:r>
                    <w:t xml:space="preserve">Maximizes social impact, innovative funding approach</w:t>
                  </w:r>
                </w:p>
              </w:tc>
            </w:tr>
          </w:tbl>
          <w:bookmarkEnd w:id="76"/>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Start w:id="143" w:name="refs"/>
    <w:bookmarkStart w:id="78"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77">
        <w:r>
          <w:rPr>
            <w:rStyle w:val="Hyperlink"/>
          </w:rPr>
          <w:t xml:space="preserve">https://www.accountingfornature.org/econd</w:t>
        </w:r>
      </w:hyperlink>
      <w:r>
        <w:t xml:space="preserve">.</w:t>
      </w:r>
    </w:p>
    <w:bookmarkEnd w:id="78"/>
    <w:bookmarkStart w:id="80" w:name="ref-blab_2024"/>
    <w:p>
      <w:pPr>
        <w:pStyle w:val="Bibliography"/>
      </w:pPr>
      <w:r>
        <w:t xml:space="preserve">B Lab. 2024.</w:t>
      </w:r>
      <w:r>
        <w:t xml:space="preserve"> </w:t>
      </w:r>
      <w:r>
        <w:t xml:space="preserve">“B Impact Assessment.”</w:t>
      </w:r>
      <w:r>
        <w:t xml:space="preserve"> </w:t>
      </w:r>
      <w:r>
        <w:t xml:space="preserve">2024.</w:t>
      </w:r>
      <w:r>
        <w:t xml:space="preserve"> </w:t>
      </w:r>
      <w:hyperlink r:id="rId79">
        <w:r>
          <w:rPr>
            <w:rStyle w:val="Hyperlink"/>
          </w:rPr>
          <w:t xml:space="preserve">https://www.bcorporation.net/en-us/programs-and-tools/b-impact-assessment/</w:t>
        </w:r>
      </w:hyperlink>
      <w:r>
        <w:t xml:space="preserve">.</w:t>
      </w:r>
    </w:p>
    <w:bookmarkEnd w:id="80"/>
    <w:bookmarkStart w:id="81"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81"/>
    <w:bookmarkStart w:id="82"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82"/>
    <w:bookmarkStart w:id="84"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83">
        <w:r>
          <w:rPr>
            <w:rStyle w:val="Hyperlink"/>
          </w:rPr>
          <w:t xml:space="preserve">https://capitalscoalition.org/capitals-approach/natural-capital-protocol/?fwp_filter_tabs=guide_supplement</w:t>
        </w:r>
      </w:hyperlink>
      <w:r>
        <w:t xml:space="preserve">.</w:t>
      </w:r>
    </w:p>
    <w:bookmarkEnd w:id="84"/>
    <w:bookmarkStart w:id="86"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85">
        <w:r>
          <w:rPr>
            <w:rStyle w:val="Hyperlink"/>
          </w:rPr>
          <w:t xml:space="preserve">https://www.cdp.net/en</w:t>
        </w:r>
      </w:hyperlink>
      <w:r>
        <w:t xml:space="preserve">.</w:t>
      </w:r>
    </w:p>
    <w:bookmarkEnd w:id="86"/>
    <w:bookmarkStart w:id="88"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87">
        <w:r>
          <w:rPr>
            <w:rStyle w:val="Hyperlink"/>
          </w:rPr>
          <w:t xml:space="preserve">https://cerise-sptf.org/universal-standards/</w:t>
        </w:r>
      </w:hyperlink>
      <w:r>
        <w:t xml:space="preserve">.</w:t>
      </w:r>
    </w:p>
    <w:bookmarkEnd w:id="88"/>
    <w:bookmarkStart w:id="90"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89">
        <w:r>
          <w:rPr>
            <w:rStyle w:val="Hyperlink"/>
          </w:rPr>
          <w:t xml:space="preserve">https://www.weforum.org/agenda/2024/05/4-key-trends-driving-private-market-impact-funds/</w:t>
        </w:r>
      </w:hyperlink>
      <w:r>
        <w:t xml:space="preserve">.</w:t>
      </w:r>
    </w:p>
    <w:bookmarkEnd w:id="90"/>
    <w:bookmarkStart w:id="92"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91">
        <w:r>
          <w:rPr>
            <w:rStyle w:val="Hyperlink"/>
          </w:rPr>
          <w:t xml:space="preserve">https://ec.europa.eu/info/publications/communication-european-green-deal_en</w:t>
        </w:r>
      </w:hyperlink>
      <w:r>
        <w:t xml:space="preserve">.</w:t>
      </w:r>
    </w:p>
    <w:bookmarkEnd w:id="92"/>
    <w:bookmarkStart w:id="94"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93">
        <w:r>
          <w:rPr>
            <w:rStyle w:val="Hyperlink"/>
          </w:rPr>
          <w:t xml:space="preserve">https://op.europa.eu/en/publications</w:t>
        </w:r>
      </w:hyperlink>
      <w:r>
        <w:t xml:space="preserve">.</w:t>
      </w:r>
    </w:p>
    <w:bookmarkEnd w:id="94"/>
    <w:bookmarkStart w:id="96"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95">
        <w:r>
          <w:rPr>
            <w:rStyle w:val="Hyperlink"/>
          </w:rPr>
          <w:t xml:space="preserve">https://climate.ec.europa.eu/eu-action/eu-emissions-trading-system-eu-ets_en</w:t>
        </w:r>
      </w:hyperlink>
      <w:r>
        <w:t xml:space="preserve">.</w:t>
      </w:r>
    </w:p>
    <w:bookmarkEnd w:id="96"/>
    <w:bookmarkStart w:id="98"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97">
        <w:r>
          <w:rPr>
            <w:rStyle w:val="Hyperlink"/>
          </w:rPr>
          <w:t xml:space="preserve">https://www.eurosif.org/wp-content/uploads/2024/02/2024.02.15-Final-Report-Eurosif-Classification_2024.pdf</w:t>
        </w:r>
      </w:hyperlink>
      <w:r>
        <w:t xml:space="preserve">.</w:t>
      </w:r>
    </w:p>
    <w:bookmarkEnd w:id="98"/>
    <w:bookmarkStart w:id="100"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99">
        <w:r>
          <w:rPr>
            <w:rStyle w:val="Hyperlink"/>
          </w:rPr>
          <w:t xml:space="preserve">https://ghgprotocol.org/standards-guidance</w:t>
        </w:r>
      </w:hyperlink>
      <w:r>
        <w:t xml:space="preserve">.</w:t>
      </w:r>
    </w:p>
    <w:bookmarkEnd w:id="100"/>
    <w:bookmarkStart w:id="102" w:name="ref-giin_2022"/>
    <w:p>
      <w:pPr>
        <w:pStyle w:val="Bibliography"/>
      </w:pPr>
      <w:r>
        <w:t xml:space="preserve">GIIN. 2022.</w:t>
      </w:r>
      <w:r>
        <w:t xml:space="preserve"> </w:t>
      </w:r>
      <w:r>
        <w:t xml:space="preserve">“What Is Impact Investing?”</w:t>
      </w:r>
      <w:r>
        <w:t xml:space="preserve"> 2022.</w:t>
      </w:r>
      <w:r>
        <w:t xml:space="preserve"> </w:t>
      </w:r>
      <w:hyperlink r:id="rId101">
        <w:r>
          <w:rPr>
            <w:rStyle w:val="Hyperlink"/>
          </w:rPr>
          <w:t xml:space="preserve">https://thegiin.org/impact-investing/need-to-know/#what-is-impact-investing</w:t>
        </w:r>
      </w:hyperlink>
      <w:r>
        <w:t xml:space="preserve">.</w:t>
      </w:r>
    </w:p>
    <w:bookmarkEnd w:id="102"/>
    <w:bookmarkStart w:id="104"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103">
        <w:r>
          <w:rPr>
            <w:rStyle w:val="Hyperlink"/>
          </w:rPr>
          <w:t xml:space="preserve">https://www.globalreporting.org/standards</w:t>
        </w:r>
      </w:hyperlink>
      <w:r>
        <w:t xml:space="preserve">.</w:t>
      </w:r>
    </w:p>
    <w:bookmarkEnd w:id="104"/>
    <w:bookmarkStart w:id="105"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105"/>
    <w:bookmarkStart w:id="107"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106">
        <w:r>
          <w:rPr>
            <w:rStyle w:val="Hyperlink"/>
          </w:rPr>
          <w:t xml:space="preserve">https://impactmanagementplatform.org</w:t>
        </w:r>
      </w:hyperlink>
      <w:r>
        <w:t xml:space="preserve">.</w:t>
      </w:r>
    </w:p>
    <w:bookmarkEnd w:id="107"/>
    <w:bookmarkStart w:id="109"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108">
        <w:r>
          <w:rPr>
            <w:rStyle w:val="Hyperlink"/>
          </w:rPr>
          <w:t xml:space="preserve">https://www.ipcc.ch/</w:t>
        </w:r>
      </w:hyperlink>
      <w:r>
        <w:t xml:space="preserve">.</w:t>
      </w:r>
    </w:p>
    <w:bookmarkEnd w:id="109"/>
    <w:bookmarkStart w:id="111"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110">
        <w:r>
          <w:rPr>
            <w:rStyle w:val="Hyperlink"/>
          </w:rPr>
          <w:t xml:space="preserve">https://www.iso.org/standard/43263.html</w:t>
        </w:r>
      </w:hyperlink>
      <w:r>
        <w:t xml:space="preserve">.</w:t>
      </w:r>
    </w:p>
    <w:bookmarkEnd w:id="111"/>
    <w:bookmarkStart w:id="113"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112">
        <w:r>
          <w:rPr>
            <w:rStyle w:val="Hyperlink"/>
          </w:rPr>
          <w:t xml:space="preserve">https://iucnrle.org/</w:t>
        </w:r>
      </w:hyperlink>
      <w:r>
        <w:t xml:space="preserve">.</w:t>
      </w:r>
    </w:p>
    <w:bookmarkEnd w:id="113"/>
    <w:bookmarkStart w:id="115"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14">
        <w:r>
          <w:rPr>
            <w:rStyle w:val="Hyperlink"/>
          </w:rPr>
          <w:t xml:space="preserve">https://s3.amazonaws.com/giin-web-assets/iris/assets/files/guidance/2022-07-19_IRIS-FND_Taxonomy.pdf</w:t>
        </w:r>
      </w:hyperlink>
      <w:r>
        <w:t xml:space="preserve">.</w:t>
      </w:r>
    </w:p>
    <w:bookmarkEnd w:id="115"/>
    <w:bookmarkStart w:id="117"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16">
        <w:r>
          <w:rPr>
            <w:rStyle w:val="Hyperlink"/>
          </w:rPr>
          <w:t xml:space="preserve">https://horasis.org/the-next-big-trend-asian-impact-investing/</w:t>
        </w:r>
      </w:hyperlink>
      <w:r>
        <w:t xml:space="preserve">.</w:t>
      </w:r>
    </w:p>
    <w:bookmarkEnd w:id="117"/>
    <w:bookmarkStart w:id="119"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18">
        <w:r>
          <w:rPr>
            <w:rStyle w:val="Hyperlink"/>
          </w:rPr>
          <w:t xml:space="preserve">https://sciencebasedtargets.org</w:t>
        </w:r>
      </w:hyperlink>
      <w:r>
        <w:t xml:space="preserve">.</w:t>
      </w:r>
    </w:p>
    <w:bookmarkEnd w:id="119"/>
    <w:bookmarkStart w:id="121"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20">
        <w:r>
          <w:rPr>
            <w:rStyle w:val="Hyperlink"/>
          </w:rPr>
          <w:t xml:space="preserve">https://socialvalueint.org/social-return-on-investment-sroi/</w:t>
        </w:r>
      </w:hyperlink>
      <w:r>
        <w:t xml:space="preserve">.</w:t>
      </w:r>
    </w:p>
    <w:bookmarkEnd w:id="121"/>
    <w:bookmarkStart w:id="123"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22">
        <w:r>
          <w:rPr>
            <w:rStyle w:val="Hyperlink"/>
          </w:rPr>
          <w:t xml:space="preserve">https://www.sasb.org/standards/</w:t>
        </w:r>
      </w:hyperlink>
      <w:r>
        <w:t xml:space="preserve">.</w:t>
      </w:r>
    </w:p>
    <w:bookmarkEnd w:id="123"/>
    <w:bookmarkStart w:id="125"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24">
        <w:r>
          <w:rPr>
            <w:rStyle w:val="Hyperlink"/>
          </w:rPr>
          <w:t xml:space="preserve">https://doi.org/10.1038/s41893-024-01403-w</w:t>
        </w:r>
      </w:hyperlink>
      <w:r>
        <w:t xml:space="preserve">.</w:t>
      </w:r>
    </w:p>
    <w:bookmarkEnd w:id="125"/>
    <w:bookmarkStart w:id="127"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26">
        <w:r>
          <w:rPr>
            <w:rStyle w:val="Hyperlink"/>
          </w:rPr>
          <w:t xml:space="preserve">https://www.tcfdhub.org</w:t>
        </w:r>
      </w:hyperlink>
      <w:r>
        <w:t xml:space="preserve">.</w:t>
      </w:r>
    </w:p>
    <w:bookmarkEnd w:id="127"/>
    <w:bookmarkStart w:id="129"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28">
        <w:r>
          <w:rPr>
            <w:rStyle w:val="Hyperlink"/>
          </w:rPr>
          <w:t xml:space="preserve">https://tnfd.global</w:t>
        </w:r>
      </w:hyperlink>
      <w:r>
        <w:t xml:space="preserve">.</w:t>
      </w:r>
    </w:p>
    <w:bookmarkEnd w:id="129"/>
    <w:bookmarkStart w:id="130"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30"/>
    <w:bookmarkStart w:id="132"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31">
        <w:r>
          <w:rPr>
            <w:rStyle w:val="Hyperlink"/>
          </w:rPr>
          <w:t xml:space="preserve">https://www.unep.org/</w:t>
        </w:r>
      </w:hyperlink>
      <w:r>
        <w:t xml:space="preserve">.</w:t>
      </w:r>
    </w:p>
    <w:bookmarkEnd w:id="132"/>
    <w:bookmarkStart w:id="134"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33">
        <w:r>
          <w:rPr>
            <w:rStyle w:val="Hyperlink"/>
          </w:rPr>
          <w:t xml:space="preserve">https://unfccc.int/process-and-meetings/the-paris-agreement/the-paris-agreement</w:t>
        </w:r>
      </w:hyperlink>
      <w:r>
        <w:t xml:space="preserve">.</w:t>
      </w:r>
    </w:p>
    <w:bookmarkEnd w:id="134"/>
    <w:bookmarkStart w:id="136"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35">
        <w:r>
          <w:rPr>
            <w:rStyle w:val="Hyperlink"/>
          </w:rPr>
          <w:t xml:space="preserve">https://www.undrr.org/publication/good-practices-increasing-application-nature-based-solutions-and-ecosystem-based</w:t>
        </w:r>
      </w:hyperlink>
      <w:r>
        <w:t xml:space="preserve">.</w:t>
      </w:r>
    </w:p>
    <w:bookmarkEnd w:id="136"/>
    <w:bookmarkStart w:id="138"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37">
        <w:r>
          <w:rPr>
            <w:rStyle w:val="Hyperlink"/>
          </w:rPr>
          <w:t xml:space="preserve">https://seea.un.org/content/about-seea</w:t>
        </w:r>
      </w:hyperlink>
      <w:r>
        <w:t xml:space="preserve">.</w:t>
      </w:r>
    </w:p>
    <w:bookmarkEnd w:id="138"/>
    <w:bookmarkStart w:id="140"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39">
        <w:r>
          <w:rPr>
            <w:rStyle w:val="Hyperlink"/>
          </w:rPr>
          <w:t xml:space="preserve">https://www.who.int/</w:t>
        </w:r>
      </w:hyperlink>
      <w:r>
        <w:t xml:space="preserve">.</w:t>
      </w:r>
    </w:p>
    <w:bookmarkEnd w:id="140"/>
    <w:bookmarkStart w:id="142"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41">
        <w:r>
          <w:rPr>
            <w:rStyle w:val="Hyperlink"/>
          </w:rPr>
          <w:t xml:space="preserve">https://www.wri.org/</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61">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48" Target="https://SustainableDevelopmentReform.github.io/Technical-Publishing/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8" Target="https://SustainableDevelopmentReform.github.io/Technical-Publishing/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2025-01-08T22:56:44Z</dcterms:created>
  <dcterms:modified xsi:type="dcterms:W3CDTF">2025-01-08T22:56:44Z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2024-12-20</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