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Subsystem 2a — SB 253 Regulatory Schema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Current versions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Both associated files: v1.0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manual: v1.0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July 28,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Statute binding: HSC §38532 as amended by SB 219 (ch. 766) and AB 154 (ch. 609) — key AB154-2025-ch609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Engineering Handoff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1. The files, one line each</w:t>
      </w:r>
    </w:p>
    <w:tbl>
      <w:tblPr>
        <w:tblStyle w:val="Table1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S2_SB253_Regulatory_Schema_v.1 (short version: regulation schema)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S2a rules (6) + the node coverage map. What to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S2_SB253_Statute_Database_v.1 (short verion: statue database or Statue DB)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 A — the §38532 and CARB nodes every rule anchors to. What the law says.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S2_General_Methodology_Schema_v.1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Field_IDs the rules read. Ships in the Subsystem 2 methodology handoff.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File 1 says what to check. File 2 says what the law requires. The rules read fields from GEN — SB 253 defines no emissions fields of its own.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2. The mental model</w:t>
      </w:r>
    </w:p>
    <w:p w:rsidR="00000000" w:rsidDel="00000000" w:rsidP="00000000" w:rsidRDefault="00000000" w:rsidRPr="00000000" w14:paraId="00000017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┌─────────────────────────┐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│   STATUTE DB (Store A)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│   §38532 + CARB nodes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│     stable Node_IDs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└───────────┬─────────────┘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│  anchor   ← what the law requires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┌───────────▼─────────────┐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│      S2a RULES (6)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│       thin overlay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└───────────┬─────────────┘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│  bind     ← which datum to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┌───────────▼─────────────┐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│     GEN methodology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│boundary · period · gases│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└─────────────────────────┘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single most important idea: S2a never re-implements methodology. It points at it. SB 253 incorporates the GHG Protocol by reference, so this layer configures and grounds the methodology run against the statute — nothing more. Substantive checks live in S2b; assurance and severity live in S3.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3. Read them in this order</w:t>
      </w:r>
    </w:p>
    <w:p w:rsidR="00000000" w:rsidDel="00000000" w:rsidP="00000000" w:rsidRDefault="00000000" w:rsidRPr="00000000" w14:paraId="00000028">
      <w:pPr>
        <w:ind w:left="432" w:hanging="288"/>
        <w:rPr/>
      </w:pPr>
      <w:r w:rsidDel="00000000" w:rsidR="00000000" w:rsidRPr="00000000">
        <w:rPr>
          <w:rtl w:val="0"/>
        </w:rPr>
        <w:t xml:space="preserve">•  Statute DB — SB253_statute_nodes. The anchors. Everything grounds here.</w:t>
      </w:r>
    </w:p>
    <w:p w:rsidR="00000000" w:rsidDel="00000000" w:rsidP="00000000" w:rsidRDefault="00000000" w:rsidRPr="00000000" w14:paraId="00000029">
      <w:pPr>
        <w:ind w:left="432" w:hanging="288"/>
        <w:rPr/>
      </w:pPr>
      <w:r w:rsidDel="00000000" w:rsidR="00000000" w:rsidRPr="00000000">
        <w:rPr>
          <w:rtl w:val="0"/>
        </w:rPr>
        <w:t xml:space="preserve">•  Regulation Schema — 2_Node_Coverage_Map. See how every statute node is dispositioned before you read a single rule.</w:t>
      </w:r>
    </w:p>
    <w:p w:rsidR="00000000" w:rsidDel="00000000" w:rsidP="00000000" w:rsidRDefault="00000000" w:rsidRPr="00000000" w14:paraId="0000002A">
      <w:pPr>
        <w:ind w:left="432" w:hanging="288"/>
        <w:rPr/>
      </w:pPr>
      <w:r w:rsidDel="00000000" w:rsidR="00000000" w:rsidRPr="00000000">
        <w:rPr>
          <w:rtl w:val="0"/>
        </w:rPr>
        <w:t xml:space="preserve">•  Regulation Schema — 1_Regulation_Rules. The 6 rules. R-050 and R-070 are guards, not value checks.</w:t>
      </w:r>
    </w:p>
    <w:p w:rsidR="00000000" w:rsidDel="00000000" w:rsidP="00000000" w:rsidRDefault="00000000" w:rsidRPr="00000000" w14:paraId="0000002B">
      <w:pPr>
        <w:ind w:left="432" w:hanging="288"/>
        <w:rPr/>
      </w:pPr>
      <w:r w:rsidDel="00000000" w:rsidR="00000000" w:rsidRPr="00000000">
        <w:rPr>
          <w:rtl w:val="0"/>
        </w:rPr>
        <w:t xml:space="preserve">•  Regulation Schema — 4_Vocab. The enums: result states, dispositions, runtime parameters.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4. How a rule wires up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Every rule carries two cross-file references. Both must resolve at build time.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Reading a rule</w:t>
      </w:r>
    </w:p>
    <w:p w:rsidR="00000000" w:rsidDel="00000000" w:rsidP="00000000" w:rsidRDefault="00000000" w:rsidRPr="00000000" w14:paraId="0000002F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Rule_ID:         SB253-R-020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Anchor_Node_ID:  N0050          ← Store A: (c)(2)(A)(i)(I), the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Binds_Field_ID:  PER-010        ← GEN: the datum to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Trigger:         inventory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Constraint:      reported period = prior FY vs runtime reporting_year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Anchor is what the law requires. Bind is which reported datum to test. A finding needs both — the clause and the number. Confusing the two is the most likely modelling error here.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5. The rule frame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Every rule resolves to one of these result states: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PASS · FAIL · FLAG_FOR_REVIEW (practitioner) · NOT_EVALUATED(reason) · SUPPRESS (guard).</w:t>
      </w:r>
    </w:p>
    <w:tbl>
      <w:tblPr>
        <w:tblStyle w:val="Table2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it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(c)(2)(A)(ii)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declared methodology resolves to the GHG Protocol; S2b roll-up clean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R-020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(c)(2)(A)(i)(I)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reported period = the entity's prior fiscal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R-030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(c)(2)(A)(i)(I)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Scope 1 and Scope 2 corporate totals both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R-040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(c)(2)(A)(i)(II)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Scope 3 total present — toggle OFF until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R-050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(c)(6)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suppress any gap demanding reporting beyond in-force scopes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R-070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(c)(2)(D)(i)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 substitute report passes only if R-010 ∧ R-020 ∧ R-030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Runtime parameters (not stored fields): reporting_year, scope3_in_force (FALSE — 2027 start), substitute_report (practitioner-set at engagement setup).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6. Six things that will break your build</w:t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6.1 Node_IDs are stable handles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Never renumber a node or rule that's referenced, and never reuse a vacated ID. reading_order does the ordering, not the ID. Renumber, and every anchor pointing at it silently detaches.</w:t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6.2 R-070 is composition-only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It references R-010/R-020/R-030 by Rule_ID and binds no methodology field. Do not 'optimize' it into direct methodology reads — that fuses scope and methodology, the one thing this system never does.</w:t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6.3 Schema fields hold the company's reported value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rule's recomputation is verification logic; the delta is an S3 gap record. Never edit a reported field to resolve a discrepancy. Get this wrong and the reported value and the system's opinion become indistinguishable.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6.4 Scope 3 is OFF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scope3_in_force = FALSE. R-040 and every placeholder-S3 node evaluate to NOT_EVALUATED(out_of_scope_for_version) until the 2027 start. Enabling them is a version event, not new authoring.</w:t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6.5 R-010 depends on S2b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conformance pointer needs the S2b methodology roll-up to exist. Until S2b is evaluable, R-010's roll-up leg returns NOT_EVALUATED(upstream_failed). That is expected, not a bug.</w:t>
      </w:r>
    </w:p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  <w:t xml:space="preserve">6.6 (c)(2)(C) is NOT verified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Entity name / trade-name / logo completeness is a disclosure-formatting requirement with no evidence source. Node N0083 exists for RAG/citation only — do not build a completeness gap on it. This is why rule ID R-060 is retired and vacant.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7. What to build</w:t>
      </w:r>
    </w:p>
    <w:p w:rsidR="00000000" w:rsidDel="00000000" w:rsidP="00000000" w:rsidRDefault="00000000" w:rsidRPr="00000000" w14:paraId="0000005C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Statute DB (Store A nodes)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①  ANCHOR    load nodes; every rule Anchor_Node_ID must resolve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②  BIND      confirm GEN Field_IDs exist (MTH/PER/RUP/OPB/GAS/RPT)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③  RULES     load the 6; validate every anchor + bind resolves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④  RUNTIME   wire reporting_year, scope3_in_force, substitute_report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⑤  COVERAGE  the map is traceability only — not executable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order: Store A nodes → GEN fields exist → rules → runtime params → coverage map as the audit trail. If you build only one guard first, build R-050 — it stops the engine raising findings beyond the in-force GHGP scopes.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8. Superseded — ignore these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Nora's comprehensive 134-field schema and its provision/manifest-seed tabs are dropped: they spanned S2b, S3, applicability and fees, all outside the S2a remit. Rule ID R-060 is retired. The two files in §1 are the spec; everything else is provenance.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9. Known gaps — do not panic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Documented, deliberate, and none of them block you.</w:t>
      </w:r>
    </w:p>
    <w:tbl>
      <w:tblPr>
        <w:tblStyle w:val="Table3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GWP edition (GAS-030)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fixed until CARB's deferred rulemaking. GATE at CARBIR-N0120; NOT_EVALUATED until adopted.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First-cycle deadline (Nov 10 2026)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proposed_pending_approval, not codified. Filing timeliness is COMPLIANCE(out), not an S2a value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Scope 3 schedule + assurance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2027 statutory start; CARB schedule pending. Placeholder nodes and R-040 stay 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 A JSON export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nodes.json / edges.json format to confirm with engineering before the exporter is built.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10. Sanity checks before you ship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Run these against the files. All currently pass.</w:t>
      </w:r>
    </w:p>
    <w:p w:rsidR="00000000" w:rsidDel="00000000" w:rsidP="00000000" w:rsidRDefault="00000000" w:rsidRPr="00000000" w14:paraId="0000007D">
      <w:pPr>
        <w:ind w:left="432" w:hanging="288"/>
        <w:rPr/>
      </w:pPr>
      <w:r w:rsidDel="00000000" w:rsidR="00000000" w:rsidRPr="00000000">
        <w:rPr>
          <w:rtl w:val="0"/>
        </w:rPr>
        <w:t xml:space="preserve">•  Every rule Anchor_Node_ID resolves to a Store A node. (Pass — N0050/0060/0070/0084/0140.)</w:t>
      </w:r>
    </w:p>
    <w:p w:rsidR="00000000" w:rsidDel="00000000" w:rsidP="00000000" w:rsidRDefault="00000000" w:rsidRPr="00000000" w14:paraId="0000007E">
      <w:pPr>
        <w:ind w:left="432" w:hanging="288"/>
        <w:rPr/>
      </w:pPr>
      <w:r w:rsidDel="00000000" w:rsidR="00000000" w:rsidRPr="00000000">
        <w:rPr>
          <w:rtl w:val="0"/>
        </w:rPr>
        <w:t xml:space="preserve">•  Every Binds_Field_ID resolves to a GEN field. (Pass — MTH/PER/RUP/OPB/GAS/RPT.)</w:t>
      </w:r>
    </w:p>
    <w:p w:rsidR="00000000" w:rsidDel="00000000" w:rsidP="00000000" w:rsidRDefault="00000000" w:rsidRPr="00000000" w14:paraId="0000007F">
      <w:pPr>
        <w:ind w:left="432" w:hanging="288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Coverage map ↔ Store A is bidirectional; no statute node left undisposed. (Pass.)</w:t>
      </w:r>
    </w:p>
    <w:p w:rsidR="00000000" w:rsidDel="00000000" w:rsidP="00000000" w:rsidRDefault="00000000" w:rsidRPr="00000000" w14:paraId="00000080">
      <w:pPr>
        <w:ind w:left="432" w:hanging="288"/>
        <w:rPr/>
      </w:pPr>
      <w:r w:rsidDel="00000000" w:rsidR="00000000" w:rsidRPr="00000000">
        <w:rPr>
          <w:rtl w:val="0"/>
        </w:rPr>
        <w:t xml:space="preserve">•  No rule binds a methodology field it recomputes; R-070 is composition-only. (Pass.)</w:t>
      </w:r>
    </w:p>
    <w:p w:rsidR="00000000" w:rsidDel="00000000" w:rsidP="00000000" w:rsidRDefault="00000000" w:rsidRPr="00000000" w14:paraId="00000081">
      <w:pPr>
        <w:ind w:left="432" w:hanging="288"/>
        <w:rPr/>
      </w:pPr>
      <w:r w:rsidDel="00000000" w:rsidR="00000000" w:rsidRPr="00000000">
        <w:rPr>
          <w:rtl w:val="0"/>
        </w:rPr>
        <w:t xml:space="preserve">•  No duplicate or reused Rule_ID / Node_ID; R-060 vacant; reading-order monotonic. (Pass.)</w:t>
      </w:r>
    </w:p>
    <w:p w:rsidR="00000000" w:rsidDel="00000000" w:rsidP="00000000" w:rsidRDefault="00000000" w:rsidRPr="00000000" w14:paraId="00000082">
      <w:pPr>
        <w:ind w:left="432" w:hanging="288"/>
        <w:rPr/>
      </w:pPr>
      <w:r w:rsidDel="00000000" w:rsidR="00000000" w:rsidRPr="00000000">
        <w:rPr>
          <w:rtl w:val="0"/>
        </w:rPr>
        <w:t xml:space="preserve">•  Every node's operative_text is verbatim to the in-force statute; citations resolve to AB154-2025-ch609. (Pass — N0082–N0085 verbatim-checked.)</w:t>
      </w:r>
    </w:p>
    <w:sectPr>
      <w:headerReference r:id="rId6" w:type="default"/>
      <w:headerReference r:id="rId7" w:type="first"/>
      <w:headerReference r:id="rId8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spacing w:after="240" w:before="240" w:lineRule="auto"/>
      <w:rPr/>
    </w:pPr>
    <w:r w:rsidDel="00000000" w:rsidR="00000000" w:rsidRPr="00000000">
      <w:rPr>
        <w:b w:val="1"/>
        <w:bCs w:val="1"/>
        <w:i w:val="1"/>
        <w:iCs w:val="1"/>
        <w:color w:val="434343"/>
        <w:rtl w:val="0"/>
      </w:rPr>
      <w:t xml:space="preserve">Engineering Brief — Subsystem 2a · SB 253 Regulatory Schema (v1)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