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EV-NG-2023-011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NFG-23-BWV-0011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Nov 1, 2023 to Nov 30,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1,521,040</w:t>
            </w:r>
          </w:p>
        </w:tc>
        <w:tc>
          <w:tcPr>
            <w:tcW w:type="dxa" w:w="1762"/>
            <w:vAlign w:val="center"/>
          </w:tcPr>
          <w:p>
            <w:r>
              <w:t>1,552,040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30</w:t>
            </w:r>
          </w:p>
        </w:tc>
        <w:tc>
          <w:tcPr>
            <w:tcW w:type="dxa" w:w="1762"/>
            <w:vAlign w:val="center"/>
          </w:tcPr>
          <w:p>
            <w:r>
              <w:t>31,000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31,000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$190,650.00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31,000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$13,020.00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$6,313.77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$210,308.77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12/20/2023.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