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EV-NG-2023-005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NFG-23-BWV-0005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May 1, 2023 to May 31,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1,145,740</w:t>
            </w:r>
          </w:p>
        </w:tc>
        <w:tc>
          <w:tcPr>
            <w:tcW w:type="dxa" w:w="1762"/>
            <w:vAlign w:val="center"/>
          </w:tcPr>
          <w:p>
            <w:r>
              <w:t>1,166,840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</w:t>
            </w:r>
          </w:p>
        </w:tc>
        <w:tc>
          <w:tcPr>
            <w:tcW w:type="dxa" w:w="1762"/>
            <w:vAlign w:val="center"/>
          </w:tcPr>
          <w:p>
            <w:r>
              <w:t>21,100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21,100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$129,765.00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21,100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$8,862.00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$4,297.44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$143,249.44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06/20/2023.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