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Document ID: EV-RFO-2023-001</w:t>
      </w:r>
    </w:p>
    <w:p>
      <w:pPr>
        <w:pStyle w:val="Heading1"/>
      </w:pPr>
      <w:r>
        <w:t>RFO-001 Standby / No Fuel Use Statement</w:t>
      </w:r>
    </w:p>
    <w:p>
      <w:pPr/>
      <w:r>
        <w:t>Annual standby status confirmation for backup residual fuel oil combustion equipment.</w:t>
      </w:r>
    </w:p>
    <w:tbl>
      <w:tblPr>
        <w:tblStyle w:val="TableGrid"/>
        <w:tblW w:type="auto" w:w="0"/>
        <w:jc w:val="center"/>
        <w:tblLook w:firstColumn="1" w:firstRow="1" w:lastColumn="0" w:lastRow="0" w:noHBand="0" w:noVBand="1" w:val="04A0"/>
      </w:tblPr>
      <w:tblGrid>
        <w:gridCol w:w="2642"/>
        <w:gridCol w:w="2642"/>
        <w:gridCol w:w="2642"/>
        <w:gridCol w:w="2642"/>
      </w:tblGrid>
      <w:tr>
        <w:tc>
          <w:tcPr>
            <w:tcW w:type="dxa" w:w="2642"/>
            <w:vAlign w:val="center"/>
          </w:tcPr>
          <w:p>
            <w:r/>
            <w:r>
              <w:rPr>
                <w:b/>
                <w:sz w:val="18"/>
              </w:rPr>
              <w:t>Facility Name</w:t>
            </w:r>
          </w:p>
        </w:tc>
        <w:tc>
          <w:tcPr>
            <w:tcW w:type="dxa" w:w="2642"/>
            <w:vAlign w:val="center"/>
          </w:tcPr>
          <w:p>
            <w:r/>
            <w:r>
              <w:rPr>
                <w:b w:val="0"/>
                <w:sz w:val="18"/>
              </w:rPr>
              <w:t>Anheuser-Busch Baldwinsville Brewery</w:t>
            </w:r>
          </w:p>
        </w:tc>
        <w:tc>
          <w:tcPr>
            <w:tcW w:type="dxa" w:w="2642"/>
            <w:vAlign w:val="center"/>
          </w:tcPr>
          <w:p>
            <w:r/>
            <w:r>
              <w:rPr>
                <w:b/>
                <w:sz w:val="18"/>
              </w:rPr>
              <w:t>Service Address</w:t>
            </w:r>
          </w:p>
        </w:tc>
        <w:tc>
          <w:tcPr>
            <w:tcW w:type="dxa" w:w="2642"/>
            <w:vAlign w:val="center"/>
          </w:tcPr>
          <w:p>
            <w:r/>
            <w:r>
              <w:rPr>
                <w:b w:val="0"/>
                <w:sz w:val="18"/>
              </w:rPr>
              <w:t>4797 River Road, Baldwinsville, NY 13027</w:t>
            </w:r>
          </w:p>
        </w:tc>
      </w:tr>
      <w:tr>
        <w:tc>
          <w:tcPr>
            <w:tcW w:type="dxa" w:w="2642"/>
            <w:vAlign w:val="center"/>
          </w:tcPr>
          <w:p>
            <w:r/>
            <w:r>
              <w:rPr>
                <w:b/>
                <w:sz w:val="18"/>
              </w:rPr>
              <w:t>Operator</w:t>
            </w:r>
          </w:p>
        </w:tc>
        <w:tc>
          <w:tcPr>
            <w:tcW w:type="dxa" w:w="2642"/>
            <w:vAlign w:val="center"/>
          </w:tcPr>
          <w:p>
            <w:r/>
            <w:r>
              <w:rPr>
                <w:b w:val="0"/>
                <w:sz w:val="18"/>
              </w:rPr>
              <w:t>Anheuser-Busch LLC</w:t>
            </w:r>
          </w:p>
        </w:tc>
        <w:tc>
          <w:tcPr>
            <w:tcW w:type="dxa" w:w="2642"/>
            <w:vAlign w:val="center"/>
          </w:tcPr>
          <w:p>
            <w:r/>
            <w:r>
              <w:rPr>
                <w:b/>
                <w:sz w:val="18"/>
              </w:rPr>
              <w:t>Reporting Year</w:t>
            </w:r>
          </w:p>
        </w:tc>
        <w:tc>
          <w:tcPr>
            <w:tcW w:type="dxa" w:w="2642"/>
            <w:vAlign w:val="center"/>
          </w:tcPr>
          <w:p>
            <w:r/>
            <w:r>
              <w:rPr>
                <w:b w:val="0"/>
                <w:sz w:val="18"/>
              </w:rPr>
              <w:t>January 1, 2023 through December 31, 2023</w:t>
            </w:r>
          </w:p>
        </w:tc>
      </w:tr>
      <w:tr>
        <w:tc>
          <w:tcPr>
            <w:tcW w:type="dxa" w:w="2642"/>
            <w:vAlign w:val="center"/>
          </w:tcPr>
          <w:p>
            <w:r/>
            <w:r>
              <w:rPr>
                <w:b/>
                <w:sz w:val="18"/>
              </w:rPr>
              <w:t>Unit ID</w:t>
            </w:r>
          </w:p>
        </w:tc>
        <w:tc>
          <w:tcPr>
            <w:tcW w:type="dxa" w:w="2642"/>
            <w:vAlign w:val="center"/>
          </w:tcPr>
          <w:p>
            <w:r/>
            <w:r>
              <w:rPr>
                <w:b w:val="0"/>
                <w:sz w:val="18"/>
              </w:rPr>
              <w:t>RFO-001</w:t>
            </w:r>
          </w:p>
        </w:tc>
        <w:tc>
          <w:tcPr>
            <w:tcW w:type="dxa" w:w="2642"/>
            <w:vAlign w:val="center"/>
          </w:tcPr>
          <w:p>
            <w:r/>
            <w:r>
              <w:rPr>
                <w:b/>
                <w:sz w:val="18"/>
              </w:rPr>
              <w:t>Equipment Description</w:t>
            </w:r>
          </w:p>
        </w:tc>
        <w:tc>
          <w:tcPr>
            <w:tcW w:type="dxa" w:w="2642"/>
            <w:vAlign w:val="center"/>
          </w:tcPr>
          <w:p>
            <w:r/>
            <w:r>
              <w:rPr>
                <w:b w:val="0"/>
                <w:sz w:val="18"/>
              </w:rPr>
              <w:t>Residual Fuel Oil Boiler (Backup)</w:t>
            </w:r>
          </w:p>
        </w:tc>
      </w:tr>
      <w:tr>
        <w:tc>
          <w:tcPr>
            <w:tcW w:type="dxa" w:w="2642"/>
            <w:vAlign w:val="center"/>
          </w:tcPr>
          <w:p>
            <w:r/>
            <w:r>
              <w:rPr>
                <w:b/>
                <w:sz w:val="18"/>
              </w:rPr>
              <w:t>Fuel Type</w:t>
            </w:r>
          </w:p>
        </w:tc>
        <w:tc>
          <w:tcPr>
            <w:tcW w:type="dxa" w:w="2642"/>
            <w:vAlign w:val="center"/>
          </w:tcPr>
          <w:p>
            <w:r/>
            <w:r>
              <w:rPr>
                <w:b w:val="0"/>
                <w:sz w:val="18"/>
              </w:rPr>
              <w:t>Residual Fuel Oil No. 6</w:t>
            </w:r>
          </w:p>
        </w:tc>
        <w:tc>
          <w:tcPr>
            <w:tcW w:type="dxa" w:w="2642"/>
            <w:vAlign w:val="center"/>
          </w:tcPr>
          <w:p>
            <w:r/>
            <w:r>
              <w:rPr>
                <w:b/>
                <w:sz w:val="18"/>
              </w:rPr>
              <w:t>Operating Status</w:t>
            </w:r>
          </w:p>
        </w:tc>
        <w:tc>
          <w:tcPr>
            <w:tcW w:type="dxa" w:w="2642"/>
            <w:vAlign w:val="center"/>
          </w:tcPr>
          <w:p>
            <w:r/>
            <w:r>
              <w:rPr>
                <w:b w:val="0"/>
                <w:sz w:val="18"/>
              </w:rPr>
              <w:t>Standby backup equipment</w:t>
            </w:r>
          </w:p>
        </w:tc>
      </w:tr>
      <w:tr>
        <w:tc>
          <w:tcPr>
            <w:tcW w:type="dxa" w:w="2642"/>
            <w:vAlign w:val="center"/>
          </w:tcPr>
          <w:p>
            <w:r/>
            <w:r>
              <w:rPr>
                <w:b/>
                <w:sz w:val="18"/>
              </w:rPr>
              <w:t>Statement Date</w:t>
            </w:r>
          </w:p>
        </w:tc>
        <w:tc>
          <w:tcPr>
            <w:tcW w:type="dxa" w:w="2642"/>
            <w:vAlign w:val="center"/>
          </w:tcPr>
          <w:p>
            <w:r/>
            <w:r>
              <w:rPr>
                <w:b w:val="0"/>
                <w:sz w:val="18"/>
              </w:rPr>
              <w:t>January 8, 2024</w:t>
            </w:r>
          </w:p>
        </w:tc>
        <w:tc>
          <w:tcPr>
            <w:tcW w:type="dxa" w:w="2642"/>
            <w:vAlign w:val="center"/>
          </w:tcPr>
          <w:p>
            <w:r/>
            <w:r>
              <w:rPr>
                <w:b/>
                <w:sz w:val="18"/>
              </w:rPr>
              <w:t>Prepared By</w:t>
            </w:r>
          </w:p>
        </w:tc>
        <w:tc>
          <w:tcPr>
            <w:tcW w:type="dxa" w:w="2642"/>
            <w:vAlign w:val="center"/>
          </w:tcPr>
          <w:p>
            <w:r/>
            <w:r>
              <w:rPr>
                <w:b w:val="0"/>
                <w:sz w:val="18"/>
              </w:rPr>
              <w:t>Plant Utilities Department</w:t>
            </w:r>
          </w:p>
        </w:tc>
      </w:tr>
    </w:tbl>
    <w:p>
      <w:r>
        <w:rPr>
          <w:b/>
        </w:rPr>
        <w:t xml:space="preserve">Operations Statement: </w:t>
      </w:r>
      <w:r>
        <w:t>RFO-001 was maintained as backup equipment during the 2023 reporting year. Plant utilities records show no residual fuel oil deliveries, no residual fuel oil consumption, and no combustion activity for RFO-001 from January 1, 2023 through December 31, 2023.</w:t>
      </w:r>
    </w:p>
    <w:p>
      <w:r>
        <w:rPr>
          <w:b/>
        </w:rPr>
        <w:t xml:space="preserve">Record Basis: </w:t>
      </w:r>
      <w:r>
        <w:t>Confirmation based on onsite fuel storage inspection logs, purchase records review, and boiler operations logs for the 2023 reporting year.</w:t>
      </w:r>
    </w:p>
    <w:tbl>
      <w:tblPr>
        <w:tblStyle w:val="TableGrid"/>
        <w:tblW w:type="auto" w:w="0"/>
        <w:tblLook w:firstColumn="1" w:firstRow="1" w:lastColumn="0" w:lastRow="0" w:noHBand="0" w:noVBand="1" w:val="04A0"/>
      </w:tblPr>
      <w:tblGrid>
        <w:gridCol w:w="2642"/>
        <w:gridCol w:w="2642"/>
        <w:gridCol w:w="2642"/>
        <w:gridCol w:w="2642"/>
      </w:tblGrid>
      <w:tr>
        <w:tc>
          <w:tcPr>
            <w:tcW w:type="dxa" w:w="2642"/>
            <w:shd w:fill="D9EAF7"/>
          </w:tcPr>
          <w:p>
            <w:r/>
            <w:r>
              <w:rPr>
                <w:b/>
                <w:sz w:val="18"/>
              </w:rPr>
              <w:t>Fuel Deliveries Recorded</w:t>
            </w:r>
          </w:p>
        </w:tc>
        <w:tc>
          <w:tcPr>
            <w:tcW w:type="dxa" w:w="2642"/>
            <w:shd w:fill="D9EAF7"/>
          </w:tcPr>
          <w:p>
            <w:r/>
            <w:r>
              <w:rPr>
                <w:b/>
                <w:sz w:val="18"/>
              </w:rPr>
              <w:t>Fuel Consumption Recorded</w:t>
            </w:r>
          </w:p>
        </w:tc>
        <w:tc>
          <w:tcPr>
            <w:tcW w:type="dxa" w:w="2642"/>
            <w:shd w:fill="D9EAF7"/>
          </w:tcPr>
          <w:p>
            <w:r/>
            <w:r>
              <w:rPr>
                <w:b/>
                <w:sz w:val="18"/>
              </w:rPr>
              <w:t>Combustion Hours Recorded</w:t>
            </w:r>
          </w:p>
        </w:tc>
        <w:tc>
          <w:tcPr>
            <w:tcW w:type="dxa" w:w="2642"/>
            <w:shd w:fill="D9EAF7"/>
          </w:tcPr>
          <w:p>
            <w:r/>
            <w:r>
              <w:rPr>
                <w:b/>
                <w:sz w:val="18"/>
              </w:rPr>
              <w:t>Annual Emissions Activity</w:t>
            </w:r>
          </w:p>
        </w:tc>
      </w:tr>
      <w:tr>
        <w:tc>
          <w:tcPr>
            <w:tcW w:type="dxa" w:w="2642"/>
          </w:tcPr>
          <w:p>
            <w:r/>
            <w:r>
              <w:rPr>
                <w:b w:val="0"/>
                <w:sz w:val="18"/>
              </w:rPr>
              <w:t>0 gallons</w:t>
            </w:r>
          </w:p>
        </w:tc>
        <w:tc>
          <w:tcPr>
            <w:tcW w:type="dxa" w:w="2642"/>
          </w:tcPr>
          <w:p>
            <w:r/>
            <w:r>
              <w:rPr>
                <w:b w:val="0"/>
                <w:sz w:val="18"/>
              </w:rPr>
              <w:t>0 gallons</w:t>
            </w:r>
          </w:p>
        </w:tc>
        <w:tc>
          <w:tcPr>
            <w:tcW w:type="dxa" w:w="2642"/>
          </w:tcPr>
          <w:p>
            <w:r/>
            <w:r>
              <w:rPr>
                <w:b w:val="0"/>
                <w:sz w:val="18"/>
              </w:rPr>
              <w:t>0 hours</w:t>
            </w:r>
          </w:p>
        </w:tc>
        <w:tc>
          <w:tcPr>
            <w:tcW w:type="dxa" w:w="2642"/>
          </w:tcPr>
          <w:p>
            <w:r/>
            <w:r>
              <w:rPr>
                <w:b w:val="0"/>
                <w:sz w:val="18"/>
              </w:rPr>
              <w:t>No activity</w:t>
            </w:r>
          </w:p>
        </w:tc>
      </w:tr>
    </w:tbl>
    <w:tbl>
      <w:tblPr>
        <w:tblStyle w:val="TableGrid"/>
        <w:tblW w:type="auto" w:w="0"/>
        <w:tblLook w:firstColumn="1" w:firstRow="1" w:lastColumn="0" w:lastRow="0" w:noHBand="0" w:noVBand="1" w:val="04A0"/>
      </w:tblPr>
      <w:tblGrid>
        <w:gridCol w:w="3523"/>
        <w:gridCol w:w="3523"/>
        <w:gridCol w:w="3523"/>
      </w:tblGrid>
      <w:tr>
        <w:tc>
          <w:tcPr>
            <w:tcW w:type="dxa" w:w="3523"/>
            <w:shd w:fill="D9EAF7"/>
          </w:tcPr>
          <w:p>
            <w:r/>
            <w:r>
              <w:rPr>
                <w:b/>
                <w:sz w:val="18"/>
              </w:rPr>
              <w:t>Name / Title</w:t>
            </w:r>
          </w:p>
        </w:tc>
        <w:tc>
          <w:tcPr>
            <w:tcW w:type="dxa" w:w="3523"/>
            <w:shd w:fill="D9EAF7"/>
          </w:tcPr>
          <w:p>
            <w:r/>
            <w:r>
              <w:rPr>
                <w:b/>
                <w:sz w:val="18"/>
              </w:rPr>
              <w:t>Signature</w:t>
            </w:r>
          </w:p>
        </w:tc>
        <w:tc>
          <w:tcPr>
            <w:tcW w:type="dxa" w:w="3523"/>
            <w:shd w:fill="D9EAF7"/>
          </w:tcPr>
          <w:p>
            <w:r/>
            <w:r>
              <w:rPr>
                <w:b/>
                <w:sz w:val="18"/>
              </w:rPr>
              <w:t>Date</w:t>
            </w:r>
          </w:p>
        </w:tc>
      </w:tr>
      <w:tr>
        <w:tc>
          <w:tcPr>
            <w:tcW w:type="dxa" w:w="3523"/>
          </w:tcPr>
          <w:p>
            <w:r/>
            <w:r>
              <w:rPr>
                <w:b w:val="0"/>
                <w:sz w:val="18"/>
              </w:rPr>
              <w:t>Prepared by: M. Rivera, Environmental Compliance Coordinator</w:t>
            </w:r>
          </w:p>
        </w:tc>
        <w:tc>
          <w:tcPr>
            <w:tcW w:type="dxa" w:w="3523"/>
          </w:tcPr>
          <w:p>
            <w:r/>
            <w:r>
              <w:rPr>
                <w:b w:val="0"/>
                <w:sz w:val="18"/>
              </w:rPr>
              <w:t>M. Rivera</w:t>
            </w:r>
          </w:p>
        </w:tc>
        <w:tc>
          <w:tcPr>
            <w:tcW w:type="dxa" w:w="3523"/>
          </w:tcPr>
          <w:p>
            <w:r/>
            <w:r>
              <w:rPr>
                <w:b w:val="0"/>
                <w:sz w:val="18"/>
              </w:rPr>
              <w:t>01/08/2024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