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EV-BLR003-2023-010</w:t>
      </w:r>
    </w:p>
    <w:p>
      <w:pPr>
        <w:pStyle w:val="Heading1"/>
      </w:pPr>
      <w:r>
        <w:t>BLR-003 Monthly Fuel Consumption Record - October</w:t>
      </w:r>
    </w:p>
    <w:p>
      <w:r>
        <w:rPr>
          <w:rFonts w:ascii="Aptos" w:hAnsi="Aptos" w:eastAsia="Aptos"/>
          <w:b w:val="0"/>
          <w:sz w:val="16"/>
        </w:rPr>
        <w:t>Internal boiler operations log and fuel-use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Facility Name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Unit ID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BLR-003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Equipment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Steam Boiler #3 - Multi-Fuel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Reporting Month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October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Fuel Type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Natural Gas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Quantity / Unit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10,500 Mcf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Date Posted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Fuel Type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Quantity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Unit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Operations Note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Oct 28, 2023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10,500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Mcf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draw recorded from plant fuel-use allocation log.</w:t>
            </w:r>
          </w:p>
        </w:tc>
      </w:tr>
    </w:tbl>
    <w:p>
      <w:r>
        <w:rPr>
          <w:rFonts w:ascii="Aptos" w:hAnsi="Aptos" w:eastAsia="Aptos"/>
          <w:b w:val="0"/>
          <w:sz w:val="14"/>
        </w:rPr>
        <w:t>Operator certification: record reviewed against shift logs, meter records, and fuel receipts retained by Plant Utilities.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